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07-终端运营体系</w:t>
      </w:r>
    </w:p>
    <w:p>
      <w:r/>
    </w:p>
    <w:p>
      <w:pPr>
        <w:pStyle w:val="Heading1"/>
      </w:pPr>
      <w:r>
        <w:t>终端运营体系</w:t>
      </w:r>
    </w:p>
    <w:p>
      <w:r>
        <w:t>本文件把液化石油气企业的“终端运营”从法规条文翻译成可执行的业务体系，重点覆盖客服、配送、门店/网点、入户安检、扫码流转、投诉闭环和用户侧风险控制。</w:t>
      </w:r>
    </w:p>
    <w:p>
      <w:pPr>
        <w:pStyle w:val="Heading2"/>
      </w:pPr>
      <w:r>
        <w:t>1. 终端运营到底管什么</w:t>
      </w:r>
    </w:p>
    <w:p>
      <w:r>
        <w:t>在 LPG 企业里，终端运营不是单纯“送气”，而是以下链条的总和：</w:t>
      </w:r>
    </w:p>
    <w:p>
      <w:pPr>
        <w:pStyle w:val="ListNumber"/>
      </w:pPr>
      <w:r>
        <w:t>客户触达</w:t>
      </w:r>
    </w:p>
    <w:p>
      <w:pPr>
        <w:pStyle w:val="ListNumber"/>
      </w:pPr>
      <w:r>
        <w:t>接单与改约</w:t>
      </w:r>
    </w:p>
    <w:p>
      <w:pPr>
        <w:pStyle w:val="ListNumber"/>
      </w:pPr>
      <w:r>
        <w:t>钢瓶出库、装车、配送</w:t>
      </w:r>
    </w:p>
    <w:p>
      <w:pPr>
        <w:pStyle w:val="ListNumber"/>
      </w:pPr>
      <w:r>
        <w:t>入户安检与隐患告知</w:t>
      </w:r>
    </w:p>
    <w:p>
      <w:pPr>
        <w:pStyle w:val="ListNumber"/>
      </w:pPr>
      <w:r>
        <w:t>用户实名、钢瓶追溯、回瓶闭环</w:t>
      </w:r>
    </w:p>
    <w:p>
      <w:pPr>
        <w:pStyle w:val="ListNumber"/>
      </w:pPr>
      <w:r>
        <w:t>投诉、退户、挽留、异常升级</w:t>
      </w:r>
    </w:p>
    <w:p>
      <w:pPr>
        <w:pStyle w:val="ListNumber"/>
      </w:pPr>
      <w:r>
        <w:t>终端风险复盘和数据治理</w:t>
      </w:r>
    </w:p>
    <w:p>
      <w:r>
        <w:t>如果这条链任一环节失控，后面就会出现三类问题：</w:t>
      </w:r>
    </w:p>
    <w:p>
      <w:pPr>
        <w:pStyle w:val="ListBullet"/>
      </w:pPr>
      <w:r>
        <w:t>安全问题：隐患没被识别，违规使用继续发生</w:t>
      </w:r>
    </w:p>
    <w:p>
      <w:pPr>
        <w:pStyle w:val="ListBullet"/>
      </w:pPr>
      <w:r>
        <w:t>合规问题：实名、扫码、安检、书面告知、车辆不合规</w:t>
      </w:r>
    </w:p>
    <w:p>
      <w:pPr>
        <w:pStyle w:val="ListBullet"/>
      </w:pPr>
      <w:r>
        <w:t>经营问题：配送超时、投诉集中、退户增长、库存预警失效</w:t>
      </w:r>
    </w:p>
    <w:p>
      <w:pPr>
        <w:pStyle w:val="Heading2"/>
      </w:pPr>
      <w:r>
        <w:t>2. 终端运营的监管底线</w:t>
      </w:r>
    </w:p>
    <w:p>
      <w:pPr>
        <w:pStyle w:val="Heading3"/>
      </w:pPr>
      <w:r>
        <w:t>2.1 广西地方条例直接影响终端运营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25</w:t>
      </w:r>
      <w:r>
        <w:t xml:space="preserve"> 条：应建立用户安全检查制度并建档。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27</w:t>
      </w:r>
      <w:r>
        <w:t xml:space="preserve"> 条：不得向用户提供非法制造、报废、超期未检、检验不合格、信息标志不清的气瓶。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28</w:t>
      </w:r>
      <w:r>
        <w:t xml:space="preserve"> 条：实行实名购买制度，并记录用户基本信息、气瓶数量、检验周期和报废期限。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29</w:t>
      </w:r>
      <w:r>
        <w:t xml:space="preserve"> 条：运输瓶装燃气应使用符合危险货物道路运输安全要求的车辆，不得使用厢体封闭车辆。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37</w:t>
      </w:r>
      <w:r>
        <w:t xml:space="preserve"> 条：餐饮等行业和单位食堂应安装燃气泄漏报警切断装置，未安装不得供气。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38</w:t>
      </w:r>
      <w:r>
        <w:t xml:space="preserve"> 条：不得在地下、半地下、高层建筑、公共用餐区域和大型商店建筑厨房违规放置气瓶使用。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39</w:t>
      </w:r>
      <w:r>
        <w:t xml:space="preserve"> 条：瓶装燃气经营者应建立智能管理系统，对气瓶动态溯源。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43</w:t>
      </w:r>
      <w:r>
        <w:t xml:space="preserve"> 条：公布 </w:t>
      </w:r>
      <w:r>
        <w:rPr>
          <w:rFonts w:ascii="Menlo" w:hAnsi="Menlo" w:eastAsia="Menlo"/>
        </w:rPr>
        <w:t>24</w:t>
      </w:r>
      <w:r>
        <w:t xml:space="preserve"> 小时抢险抢修电话。</w:t>
      </w:r>
    </w:p>
    <w:p>
      <w:pPr>
        <w:pStyle w:val="Heading3"/>
      </w:pPr>
      <w:r>
        <w:t>2.2 国家和住建层面对终端运营的约束</w:t>
      </w:r>
    </w:p>
    <w:p>
      <w:pPr>
        <w:pStyle w:val="ListBullet"/>
      </w:pPr>
      <w:r>
        <w:t>《城镇燃气管理条例》要求经营者承担相应的安全检查和经营服务责任。</w:t>
      </w:r>
    </w:p>
    <w:p>
      <w:pPr>
        <w:pStyle w:val="ListBullet"/>
      </w:pPr>
      <w:r>
        <w:rPr>
          <w:rFonts w:ascii="Menlo" w:hAnsi="Menlo" w:eastAsia="Menlo"/>
        </w:rPr>
        <w:t>建城规〔2023〕4号</w:t>
      </w:r>
      <w:r>
        <w:t xml:space="preserve"> 已把“用户端安检不到位、未书面告知整改、违规场所用气未督促整改、非自有气瓶充装销售”等纳入重大隐患判定主线。</w:t>
      </w:r>
    </w:p>
    <w:p>
      <w:pPr>
        <w:pStyle w:val="ListBullet"/>
      </w:pPr>
      <w:r>
        <w:t>你本地保存的《瓶装燃气经营服务管理办法》网页整理版，也强调了许可、配送、用户档案、定期安全检查、24 小时服务热线和应急管理。</w:t>
      </w:r>
    </w:p>
    <w:p>
      <w:pPr>
        <w:pStyle w:val="Heading2"/>
      </w:pPr>
      <w:r>
        <w:t>3. 终端运营组织建议</w:t>
      </w:r>
    </w:p>
    <w:p>
      <w:r>
        <w:t>参考你本地 [阳朔福隆客服工作职责](/Users/tangjinchen/LPG_KB/04%20客服与终端运营库/客服职责/阳朔福隆客服工作职责.docx) 和 [培训条款更新版](/Users/tangjinchen/LPG_KB/04%20客服与终端运营库/客服职责/阳朔福隆客服中心工作职责培训条款更新版.docx)，推荐把终端运营拆成 5 个责任单元：</w:t>
      </w:r>
    </w:p>
    <w:p>
      <w:pPr>
        <w:pStyle w:val="Heading3"/>
      </w:pPr>
      <w:r>
        <w:t>3.1 客服中心</w:t>
      </w:r>
    </w:p>
    <w:p>
      <w:pPr>
        <w:pStyle w:val="ListBullet"/>
      </w:pPr>
      <w:r>
        <w:t>统一入口：订气、改约、咨询、投诉、开户、退户、故障报修</w:t>
      </w:r>
    </w:p>
    <w:p>
      <w:pPr>
        <w:pStyle w:val="ListBullet"/>
      </w:pPr>
      <w:r>
        <w:t>工单中枢：派单、催办、结案、回访</w:t>
      </w:r>
    </w:p>
    <w:p>
      <w:pPr>
        <w:pStyle w:val="ListBullet"/>
      </w:pPr>
      <w:r>
        <w:t>风险前哨：安检核验、重大隐患线索升级</w:t>
      </w:r>
    </w:p>
    <w:p>
      <w:pPr>
        <w:pStyle w:val="ListBullet"/>
      </w:pPr>
      <w:r>
        <w:t>数据汇总：周报、异常清单、复盘分析</w:t>
      </w:r>
    </w:p>
    <w:p>
      <w:pPr>
        <w:pStyle w:val="Heading3"/>
      </w:pPr>
      <w:r>
        <w:t>3.2 配送队伍</w:t>
      </w:r>
    </w:p>
    <w:p>
      <w:pPr>
        <w:pStyle w:val="ListBullet"/>
      </w:pPr>
      <w:r>
        <w:t>装车前扫码</w:t>
      </w:r>
    </w:p>
    <w:p>
      <w:pPr>
        <w:pStyle w:val="ListBullet"/>
      </w:pPr>
      <w:r>
        <w:t>运输过程规范</w:t>
      </w:r>
    </w:p>
    <w:p>
      <w:pPr>
        <w:pStyle w:val="ListBullet"/>
      </w:pPr>
      <w:r>
        <w:t>送达签收</w:t>
      </w:r>
    </w:p>
    <w:p>
      <w:pPr>
        <w:pStyle w:val="ListBullet"/>
      </w:pPr>
      <w:r>
        <w:t>随瓶安检</w:t>
      </w:r>
    </w:p>
    <w:p>
      <w:pPr>
        <w:pStyle w:val="ListBullet"/>
      </w:pPr>
      <w:r>
        <w:t>空瓶回收与异常上报</w:t>
      </w:r>
    </w:p>
    <w:p>
      <w:pPr>
        <w:pStyle w:val="Heading3"/>
      </w:pPr>
      <w:r>
        <w:t>3.3 门店/网点/供应点</w:t>
      </w:r>
    </w:p>
    <w:p>
      <w:pPr>
        <w:pStyle w:val="ListBullet"/>
      </w:pPr>
      <w:r>
        <w:t>实名建档</w:t>
      </w:r>
    </w:p>
    <w:p>
      <w:pPr>
        <w:pStyle w:val="ListBullet"/>
      </w:pPr>
      <w:r>
        <w:t>实瓶空瓶分区</w:t>
      </w:r>
    </w:p>
    <w:p>
      <w:pPr>
        <w:pStyle w:val="ListBullet"/>
      </w:pPr>
      <w:r>
        <w:t>日常库存管理</w:t>
      </w:r>
    </w:p>
    <w:p>
      <w:pPr>
        <w:pStyle w:val="ListBullet"/>
      </w:pPr>
      <w:r>
        <w:t>用户接待与初步判定</w:t>
      </w:r>
    </w:p>
    <w:p>
      <w:pPr>
        <w:pStyle w:val="ListBullet"/>
      </w:pPr>
      <w:r>
        <w:t>与客服和配送的口径统一</w:t>
      </w:r>
    </w:p>
    <w:p>
      <w:pPr>
        <w:pStyle w:val="Heading3"/>
      </w:pPr>
      <w:r>
        <w:t>3.4 安全管理/安检稽核</w:t>
      </w:r>
    </w:p>
    <w:p>
      <w:pPr>
        <w:pStyle w:val="ListBullet"/>
      </w:pPr>
      <w:r>
        <w:t>安检标准制定</w:t>
      </w:r>
    </w:p>
    <w:p>
      <w:pPr>
        <w:pStyle w:val="ListBullet"/>
      </w:pPr>
      <w:r>
        <w:t>隐患分级</w:t>
      </w:r>
    </w:p>
    <w:p>
      <w:pPr>
        <w:pStyle w:val="ListBullet"/>
      </w:pPr>
      <w:r>
        <w:t>整改要求和复查</w:t>
      </w:r>
    </w:p>
    <w:p>
      <w:pPr>
        <w:pStyle w:val="ListBullet"/>
      </w:pPr>
      <w:r>
        <w:t>重大隐患升级与停供建议</w:t>
      </w:r>
    </w:p>
    <w:p>
      <w:pPr>
        <w:pStyle w:val="ListBullet"/>
      </w:pPr>
      <w:r>
        <w:t>假安检、漏安检、错判的抽查</w:t>
      </w:r>
    </w:p>
    <w:p>
      <w:pPr>
        <w:pStyle w:val="Heading3"/>
      </w:pPr>
      <w:r>
        <w:t>3.5 运营管理</w:t>
      </w:r>
    </w:p>
    <w:p>
      <w:pPr>
        <w:pStyle w:val="ListBullet"/>
      </w:pPr>
      <w:r>
        <w:t>时效、投诉、退户、库存、扫码异常治理</w:t>
      </w:r>
    </w:p>
    <w:p>
      <w:pPr>
        <w:pStyle w:val="ListBullet"/>
      </w:pPr>
      <w:r>
        <w:t>跨部门协同</w:t>
      </w:r>
    </w:p>
    <w:p>
      <w:pPr>
        <w:pStyle w:val="ListBullet"/>
      </w:pPr>
      <w:r>
        <w:t>KPI 口径统一</w:t>
      </w:r>
    </w:p>
    <w:p>
      <w:pPr>
        <w:pStyle w:val="ListBullet"/>
      </w:pPr>
      <w:r>
        <w:t>红线事件处置</w:t>
      </w:r>
    </w:p>
    <w:p>
      <w:pPr>
        <w:pStyle w:val="Heading2"/>
      </w:pPr>
      <w:r>
        <w:t>4. 终端运营的标准作业流</w:t>
      </w:r>
    </w:p>
    <w:p>
      <w:pPr>
        <w:pStyle w:val="Heading3"/>
      </w:pPr>
      <w:r>
        <w:t>4.1 接单</w:t>
      </w:r>
    </w:p>
    <w:p>
      <w:r>
        <w:t>最少要采集：</w:t>
      </w:r>
    </w:p>
    <w:p>
      <w:pPr>
        <w:pStyle w:val="ListBullet"/>
      </w:pPr>
      <w:r>
        <w:t>用户姓名</w:t>
      </w:r>
    </w:p>
    <w:p>
      <w:pPr>
        <w:pStyle w:val="ListBullet"/>
      </w:pPr>
      <w:r>
        <w:t>联系方式</w:t>
      </w:r>
    </w:p>
    <w:p>
      <w:pPr>
        <w:pStyle w:val="ListBullet"/>
      </w:pPr>
      <w:r>
        <w:t>地址</w:t>
      </w:r>
    </w:p>
    <w:p>
      <w:pPr>
        <w:pStyle w:val="ListBullet"/>
      </w:pPr>
      <w:r>
        <w:t>用户类型：居民/餐饮/单位/门店</w:t>
      </w:r>
    </w:p>
    <w:p>
      <w:pPr>
        <w:pStyle w:val="ListBullet"/>
      </w:pPr>
      <w:r>
        <w:t>需求类型：订气/换瓶/退瓶/开户/报修/投诉/改约</w:t>
      </w:r>
    </w:p>
    <w:p>
      <w:pPr>
        <w:pStyle w:val="ListBullet"/>
      </w:pPr>
      <w:r>
        <w:t>是否存在已知隐患、停供、整改未完成记录</w:t>
      </w:r>
    </w:p>
    <w:p>
      <w:pPr>
        <w:pStyle w:val="Heading3"/>
      </w:pPr>
      <w:r>
        <w:t>4.2 派单</w:t>
      </w:r>
    </w:p>
    <w:p>
      <w:r>
        <w:t>工单必须带出：</w:t>
      </w:r>
    </w:p>
    <w:p>
      <w:pPr>
        <w:pStyle w:val="ListBullet"/>
      </w:pPr>
      <w:r>
        <w:t>责任部门</w:t>
      </w:r>
    </w:p>
    <w:p>
      <w:pPr>
        <w:pStyle w:val="ListBullet"/>
      </w:pPr>
      <w:r>
        <w:t>承诺时限</w:t>
      </w:r>
    </w:p>
    <w:p>
      <w:pPr>
        <w:pStyle w:val="ListBullet"/>
      </w:pPr>
      <w:r>
        <w:t>安全标签</w:t>
      </w:r>
    </w:p>
    <w:p>
      <w:pPr>
        <w:pStyle w:val="ListBullet"/>
      </w:pPr>
      <w:r>
        <w:t>是否需要入户核验</w:t>
      </w:r>
    </w:p>
    <w:p>
      <w:pPr>
        <w:pStyle w:val="ListBullet"/>
      </w:pPr>
      <w:r>
        <w:t>是否需要回访</w:t>
      </w:r>
    </w:p>
    <w:p>
      <w:pPr>
        <w:pStyle w:val="Heading3"/>
      </w:pPr>
      <w:r>
        <w:t>4.3 配送</w:t>
      </w:r>
    </w:p>
    <w:p>
      <w:r>
        <w:t>配送标准建议固定为：</w:t>
      </w:r>
    </w:p>
    <w:p>
      <w:pPr>
        <w:pStyle w:val="ListNumber"/>
      </w:pPr>
      <w:r>
        <w:t>车辆和人员合规</w:t>
      </w:r>
    </w:p>
    <w:p>
      <w:pPr>
        <w:pStyle w:val="ListNumber"/>
      </w:pPr>
      <w:r>
        <w:t>出库扫码</w:t>
      </w:r>
    </w:p>
    <w:p>
      <w:pPr>
        <w:pStyle w:val="ListNumber"/>
      </w:pPr>
      <w:r>
        <w:t>装车固定</w:t>
      </w:r>
    </w:p>
    <w:p>
      <w:pPr>
        <w:pStyle w:val="ListNumber"/>
      </w:pPr>
      <w:r>
        <w:t>到户核人核址</w:t>
      </w:r>
    </w:p>
    <w:p>
      <w:pPr>
        <w:pStyle w:val="ListNumber"/>
      </w:pPr>
      <w:r>
        <w:t>随瓶安检</w:t>
      </w:r>
    </w:p>
    <w:p>
      <w:pPr>
        <w:pStyle w:val="ListNumber"/>
      </w:pPr>
      <w:r>
        <w:t>隐患告知</w:t>
      </w:r>
    </w:p>
    <w:p>
      <w:pPr>
        <w:pStyle w:val="ListNumber"/>
      </w:pPr>
      <w:r>
        <w:t>签收留痕</w:t>
      </w:r>
    </w:p>
    <w:p>
      <w:pPr>
        <w:pStyle w:val="ListNumber"/>
      </w:pPr>
      <w:r>
        <w:t>回站闭环</w:t>
      </w:r>
    </w:p>
    <w:p>
      <w:pPr>
        <w:pStyle w:val="Heading3"/>
      </w:pPr>
      <w:r>
        <w:t>4.4 到户安检</w:t>
      </w:r>
    </w:p>
    <w:p>
      <w:r>
        <w:t>重点看：</w:t>
      </w:r>
    </w:p>
    <w:p>
      <w:pPr>
        <w:pStyle w:val="ListBullet"/>
      </w:pPr>
      <w:r>
        <w:t>使用场所是否合法</w:t>
      </w:r>
    </w:p>
    <w:p>
      <w:pPr>
        <w:pStyle w:val="ListBullet"/>
      </w:pPr>
      <w:r>
        <w:t>气瓶是否超期、破损、来源异常</w:t>
      </w:r>
    </w:p>
    <w:p>
      <w:pPr>
        <w:pStyle w:val="ListBullet"/>
      </w:pPr>
      <w:r>
        <w:t>减压阀、角阀、连接软管是否合规</w:t>
      </w:r>
    </w:p>
    <w:p>
      <w:pPr>
        <w:pStyle w:val="ListBullet"/>
      </w:pPr>
      <w:r>
        <w:t>是否使用国家明令淘汰器具</w:t>
      </w:r>
    </w:p>
    <w:p>
      <w:pPr>
        <w:pStyle w:val="ListBullet"/>
      </w:pPr>
      <w:r>
        <w:t>是否安装报警切断装置</w:t>
      </w:r>
    </w:p>
    <w:p>
      <w:pPr>
        <w:pStyle w:val="ListBullet"/>
      </w:pPr>
      <w:r>
        <w:t>是否存在三通、私接乱改、通风不良、靠火源过近等问题</w:t>
      </w:r>
    </w:p>
    <w:p>
      <w:pPr>
        <w:pStyle w:val="Heading3"/>
      </w:pPr>
      <w:r>
        <w:t>4.5 隐患处置</w:t>
      </w:r>
    </w:p>
    <w:p>
      <w:r>
        <w:t>建议分 3 档：</w:t>
      </w:r>
    </w:p>
    <w:p>
      <w:pPr>
        <w:pStyle w:val="ListBullet"/>
      </w:pPr>
      <w:r>
        <w:t>A 类：重大隐患，立即升级，可建议停供或拒供</w:t>
      </w:r>
    </w:p>
    <w:p>
      <w:pPr>
        <w:pStyle w:val="ListBullet"/>
      </w:pPr>
      <w:r>
        <w:t>B 类：较大隐患，限期整改，复查销号</w:t>
      </w:r>
    </w:p>
    <w:p>
      <w:pPr>
        <w:pStyle w:val="ListBullet"/>
      </w:pPr>
      <w:r>
        <w:t>C 类：一般问题，告知、记录、跟踪</w:t>
      </w:r>
    </w:p>
    <w:p>
      <w:pPr>
        <w:pStyle w:val="Heading3"/>
      </w:pPr>
      <w:r>
        <w:t>4.6 回访与复盘</w:t>
      </w:r>
    </w:p>
    <w:p>
      <w:r>
        <w:t>至少回看：</w:t>
      </w:r>
    </w:p>
    <w:p>
      <w:pPr>
        <w:pStyle w:val="ListBullet"/>
      </w:pPr>
      <w:r>
        <w:t>配送是否按约</w:t>
      </w:r>
    </w:p>
    <w:p>
      <w:pPr>
        <w:pStyle w:val="ListBullet"/>
      </w:pPr>
      <w:r>
        <w:t>是否完成书面告知</w:t>
      </w:r>
    </w:p>
    <w:p>
      <w:pPr>
        <w:pStyle w:val="ListBullet"/>
      </w:pPr>
      <w:r>
        <w:t>用户是否理解整改要求</w:t>
      </w:r>
    </w:p>
    <w:p>
      <w:pPr>
        <w:pStyle w:val="ListBullet"/>
      </w:pPr>
      <w:r>
        <w:t>投诉是否闭环</w:t>
      </w:r>
    </w:p>
    <w:p>
      <w:pPr>
        <w:pStyle w:val="ListBullet"/>
      </w:pPr>
      <w:r>
        <w:t>同类问题是否复发</w:t>
      </w:r>
    </w:p>
    <w:p>
      <w:pPr>
        <w:pStyle w:val="Heading2"/>
      </w:pPr>
      <w:r>
        <w:t>5. 终端运营 KPI 建议</w:t>
      </w:r>
    </w:p>
    <w:p>
      <w:r>
        <w:t>结合你本地客服职责稿和周报模板，建议先用这组核心指标：</w:t>
      </w:r>
    </w:p>
    <w:p>
      <w:pPr>
        <w:pStyle w:val="Heading3"/>
      </w:pPr>
      <w:r>
        <w:t>5.1 服务类</w:t>
      </w:r>
    </w:p>
    <w:p>
      <w:pPr>
        <w:pStyle w:val="ListBullet"/>
      </w:pPr>
      <w:r>
        <w:t>电话接通率</w:t>
      </w:r>
    </w:p>
    <w:p>
      <w:pPr>
        <w:pStyle w:val="ListBullet"/>
      </w:pPr>
      <w:r>
        <w:t>平均响应时长</w:t>
      </w:r>
    </w:p>
    <w:p>
      <w:pPr>
        <w:pStyle w:val="ListBullet"/>
      </w:pPr>
      <w:r>
        <w:t>工单结案率</w:t>
      </w:r>
    </w:p>
    <w:p>
      <w:pPr>
        <w:pStyle w:val="ListBullet"/>
      </w:pPr>
      <w:r>
        <w:t>超时工单数</w:t>
      </w:r>
    </w:p>
    <w:p>
      <w:pPr>
        <w:pStyle w:val="ListBullet"/>
      </w:pPr>
      <w:r>
        <w:t>投诉结案率</w:t>
      </w:r>
    </w:p>
    <w:p>
      <w:pPr>
        <w:pStyle w:val="Heading3"/>
      </w:pPr>
      <w:r>
        <w:t>5.2 安全类</w:t>
      </w:r>
    </w:p>
    <w:p>
      <w:pPr>
        <w:pStyle w:val="ListBullet"/>
      </w:pPr>
      <w:r>
        <w:t>入户安检覆盖率</w:t>
      </w:r>
    </w:p>
    <w:p>
      <w:pPr>
        <w:pStyle w:val="ListBullet"/>
      </w:pPr>
      <w:r>
        <w:t>安检照片/记录合格率</w:t>
      </w:r>
    </w:p>
    <w:p>
      <w:pPr>
        <w:pStyle w:val="ListBullet"/>
      </w:pPr>
      <w:r>
        <w:t>重大隐患线索闭环率</w:t>
      </w:r>
    </w:p>
    <w:p>
      <w:pPr>
        <w:pStyle w:val="ListBullet"/>
      </w:pPr>
      <w:r>
        <w:t>书面告知留痕率</w:t>
      </w:r>
    </w:p>
    <w:p>
      <w:pPr>
        <w:pStyle w:val="ListBullet"/>
      </w:pPr>
      <w:r>
        <w:t>复检销号及时率</w:t>
      </w:r>
    </w:p>
    <w:p>
      <w:pPr>
        <w:pStyle w:val="Heading3"/>
      </w:pPr>
      <w:r>
        <w:t>5.3 终端履约类</w:t>
      </w:r>
    </w:p>
    <w:p>
      <w:pPr>
        <w:pStyle w:val="ListBullet"/>
      </w:pPr>
      <w:r>
        <w:t>2 小时准时率</w:t>
      </w:r>
    </w:p>
    <w:p>
      <w:pPr>
        <w:pStyle w:val="ListBullet"/>
      </w:pPr>
      <w:r>
        <w:t>改约成功率</w:t>
      </w:r>
    </w:p>
    <w:p>
      <w:pPr>
        <w:pStyle w:val="ListBullet"/>
      </w:pPr>
      <w:r>
        <w:t>配送超时原因 TOP3</w:t>
      </w:r>
    </w:p>
    <w:p>
      <w:pPr>
        <w:pStyle w:val="ListBullet"/>
      </w:pPr>
      <w:r>
        <w:t>配送异常复发率</w:t>
      </w:r>
    </w:p>
    <w:p>
      <w:pPr>
        <w:pStyle w:val="Heading3"/>
      </w:pPr>
      <w:r>
        <w:t>5.4 合规追溯类</w:t>
      </w:r>
    </w:p>
    <w:p>
      <w:pPr>
        <w:pStyle w:val="ListBullet"/>
      </w:pPr>
      <w:r>
        <w:t>实名建档完整率</w:t>
      </w:r>
    </w:p>
    <w:p>
      <w:pPr>
        <w:pStyle w:val="ListBullet"/>
      </w:pPr>
      <w:r>
        <w:t>钢瓶扫码合规率</w:t>
      </w:r>
    </w:p>
    <w:p>
      <w:pPr>
        <w:pStyle w:val="ListBullet"/>
      </w:pPr>
      <w:r>
        <w:t>漏扫/重复扫/异常扫闭环率</w:t>
      </w:r>
    </w:p>
    <w:p>
      <w:pPr>
        <w:pStyle w:val="ListBullet"/>
      </w:pPr>
      <w:r>
        <w:t>超期未回站钢瓶清零率</w:t>
      </w:r>
    </w:p>
    <w:p>
      <w:pPr>
        <w:pStyle w:val="Heading3"/>
      </w:pPr>
      <w:r>
        <w:t>5.5 经营分析类</w:t>
      </w:r>
    </w:p>
    <w:p>
      <w:pPr>
        <w:pStyle w:val="ListBullet"/>
      </w:pPr>
      <w:r>
        <w:t>开户转化率</w:t>
      </w:r>
    </w:p>
    <w:p>
      <w:pPr>
        <w:pStyle w:val="ListBullet"/>
      </w:pPr>
      <w:r>
        <w:t>退户率</w:t>
      </w:r>
    </w:p>
    <w:p>
      <w:pPr>
        <w:pStyle w:val="ListBullet"/>
      </w:pPr>
      <w:r>
        <w:t>退户原因 TOP3</w:t>
      </w:r>
    </w:p>
    <w:p>
      <w:pPr>
        <w:pStyle w:val="ListBullet"/>
      </w:pPr>
      <w:r>
        <w:t>缺货预警提前量</w:t>
      </w:r>
    </w:p>
    <w:p>
      <w:pPr>
        <w:pStyle w:val="Heading2"/>
      </w:pPr>
      <w:r>
        <w:t>6. 红线问题</w:t>
      </w:r>
    </w:p>
    <w:p>
      <w:r>
        <w:t>以下事项不应按普通工单处理，应直接升级：</w:t>
      </w:r>
    </w:p>
    <w:p>
      <w:pPr>
        <w:pStyle w:val="ListBullet"/>
      </w:pPr>
      <w:r>
        <w:t>疑似泄漏、爆燃、中毒、火灾、人员受伤</w:t>
      </w:r>
    </w:p>
    <w:p>
      <w:pPr>
        <w:pStyle w:val="ListBullet"/>
      </w:pPr>
      <w:r>
        <w:t>用户在地下、半地下、高层、公共用餐区等违规场所使用瓶装气</w:t>
      </w:r>
    </w:p>
    <w:p>
      <w:pPr>
        <w:pStyle w:val="ListBullet"/>
      </w:pPr>
      <w:r>
        <w:t>餐饮用户未装报警切断仍要求供气</w:t>
      </w:r>
    </w:p>
    <w:p>
      <w:pPr>
        <w:pStyle w:val="ListBullet"/>
      </w:pPr>
      <w:r>
        <w:t>非自有气瓶、无码瓶、超期瓶、报废瓶流转</w:t>
      </w:r>
    </w:p>
    <w:p>
      <w:pPr>
        <w:pStyle w:val="ListBullet"/>
      </w:pPr>
      <w:r>
        <w:t>假安检、补照片、代签字、记录造假</w:t>
      </w:r>
    </w:p>
    <w:p>
      <w:pPr>
        <w:pStyle w:val="ListBullet"/>
      </w:pPr>
      <w:r>
        <w:t>配送车辆不合规或钢瓶未固定运输</w:t>
      </w:r>
    </w:p>
    <w:p>
      <w:pPr>
        <w:pStyle w:val="ListBullet"/>
      </w:pPr>
      <w:r>
        <w:t>扫码系统明显失效，无法追溯到出入库和用户</w:t>
      </w:r>
    </w:p>
    <w:p>
      <w:pPr>
        <w:pStyle w:val="Heading2"/>
      </w:pPr>
      <w:r>
        <w:t>7. 终端运营必须留痕的台账</w:t>
      </w:r>
    </w:p>
    <w:p>
      <w:r>
        <w:t>结合你本地模板，建议固定 8 本台账：</w:t>
      </w:r>
    </w:p>
    <w:p>
      <w:pPr>
        <w:pStyle w:val="ListNumber"/>
      </w:pPr>
      <w:r>
        <w:t>客户工单台账</w:t>
      </w:r>
    </w:p>
    <w:p>
      <w:pPr>
        <w:pStyle w:val="ListNumber"/>
      </w:pPr>
      <w:r>
        <w:t>投诉处理台账</w:t>
      </w:r>
    </w:p>
    <w:p>
      <w:pPr>
        <w:pStyle w:val="ListNumber"/>
      </w:pPr>
      <w:r>
        <w:t>入户安检台账</w:t>
      </w:r>
    </w:p>
    <w:p>
      <w:pPr>
        <w:pStyle w:val="ListNumber"/>
      </w:pPr>
      <w:r>
        <w:t>书面告知与整改复查台账</w:t>
      </w:r>
    </w:p>
    <w:p>
      <w:pPr>
        <w:pStyle w:val="ListNumber"/>
      </w:pPr>
      <w:r>
        <w:t>钢瓶扫码异常台账</w:t>
      </w:r>
    </w:p>
    <w:p>
      <w:pPr>
        <w:pStyle w:val="ListNumber"/>
      </w:pPr>
      <w:r>
        <w:t>配送超时与改约台账</w:t>
      </w:r>
    </w:p>
    <w:p>
      <w:pPr>
        <w:pStyle w:val="ListNumber"/>
      </w:pPr>
      <w:r>
        <w:t>退户原因分析台账</w:t>
      </w:r>
    </w:p>
    <w:p>
      <w:pPr>
        <w:pStyle w:val="ListNumber"/>
      </w:pPr>
      <w:r>
        <w:t>培训与考核台账</w:t>
      </w:r>
    </w:p>
    <w:p>
      <w:r>
        <w:t>你本地已经有一批很实用的原始模板，可直接继续沿用：</w:t>
      </w:r>
    </w:p>
    <w:p>
      <w:pPr>
        <w:pStyle w:val="ListBullet"/>
      </w:pPr>
      <w:r>
        <w:t>[客服中心周工作汇报模板.xlsx](/Users/tangjinchen/LPG_KB/04%20客服与终端运营库/客服周报/客服中心周工作汇报模板.xlsx)</w:t>
      </w:r>
    </w:p>
    <w:p>
      <w:pPr>
        <w:pStyle w:val="ListBullet"/>
      </w:pPr>
      <w:r>
        <w:t>[安检问题汇总表待回复版.xlsx](/Users/tangjinchen/LPG_KB/04%20客服与终端运营库/安检问题台账/安检问题汇总表待回复版.xlsx)</w:t>
      </w:r>
    </w:p>
    <w:p>
      <w:pPr>
        <w:pStyle w:val="Heading2"/>
      </w:pPr>
      <w:r>
        <w:t>8. 周运营例会建议固定输出</w:t>
      </w:r>
    </w:p>
    <w:p>
      <w:r>
        <w:t>每周至少看 6 份输出：</w:t>
      </w:r>
    </w:p>
    <w:p>
      <w:pPr>
        <w:pStyle w:val="ListNumber"/>
      </w:pPr>
      <w:r>
        <w:t>KPI 总览</w:t>
      </w:r>
    </w:p>
    <w:p>
      <w:pPr>
        <w:pStyle w:val="ListNumber"/>
      </w:pPr>
      <w:r>
        <w:t>逾期未结工单清单</w:t>
      </w:r>
    </w:p>
    <w:p>
      <w:pPr>
        <w:pStyle w:val="ListNumber"/>
      </w:pPr>
      <w:r>
        <w:t>安检不合格原因分布</w:t>
      </w:r>
    </w:p>
    <w:p>
      <w:pPr>
        <w:pStyle w:val="ListNumber"/>
      </w:pPr>
      <w:r>
        <w:t>重大隐患线索台账</w:t>
      </w:r>
    </w:p>
    <w:p>
      <w:pPr>
        <w:pStyle w:val="ListNumber"/>
      </w:pPr>
      <w:r>
        <w:t>钢瓶扫码异常清单</w:t>
      </w:r>
    </w:p>
    <w:p>
      <w:pPr>
        <w:pStyle w:val="ListNumber"/>
      </w:pPr>
      <w:r>
        <w:t>配送超时原因与投诉清单</w:t>
      </w:r>
    </w:p>
    <w:p>
      <w:pPr>
        <w:pStyle w:val="Heading2"/>
      </w:pPr>
      <w:r>
        <w:t>9. 终端运营培训建议</w:t>
      </w:r>
    </w:p>
    <w:p>
      <w:r>
        <w:t>终端培训不要只讲法规，要按岗位拆：</w:t>
      </w:r>
    </w:p>
    <w:p>
      <w:pPr>
        <w:pStyle w:val="Heading3"/>
      </w:pPr>
      <w:r>
        <w:t>9.1 客服</w:t>
      </w:r>
    </w:p>
    <w:p>
      <w:pPr>
        <w:pStyle w:val="ListBullet"/>
      </w:pPr>
      <w:r>
        <w:t>接单口径</w:t>
      </w:r>
    </w:p>
    <w:p>
      <w:pPr>
        <w:pStyle w:val="ListBullet"/>
      </w:pPr>
      <w:r>
        <w:t>升级标准</w:t>
      </w:r>
    </w:p>
    <w:p>
      <w:pPr>
        <w:pStyle w:val="ListBullet"/>
      </w:pPr>
      <w:r>
        <w:t>投诉闭环</w:t>
      </w:r>
    </w:p>
    <w:p>
      <w:pPr>
        <w:pStyle w:val="ListBullet"/>
      </w:pPr>
      <w:r>
        <w:t>安检核验</w:t>
      </w:r>
    </w:p>
    <w:p>
      <w:pPr>
        <w:pStyle w:val="ListBullet"/>
      </w:pPr>
      <w:r>
        <w:t>重大事项上报</w:t>
      </w:r>
    </w:p>
    <w:p>
      <w:pPr>
        <w:pStyle w:val="Heading3"/>
      </w:pPr>
      <w:r>
        <w:t>9.2 配送员</w:t>
      </w:r>
    </w:p>
    <w:p>
      <w:pPr>
        <w:pStyle w:val="ListBullet"/>
      </w:pPr>
      <w:r>
        <w:t>配送软件操作</w:t>
      </w:r>
    </w:p>
    <w:p>
      <w:pPr>
        <w:pStyle w:val="ListBullet"/>
      </w:pPr>
      <w:r>
        <w:t>钢瓶扫码</w:t>
      </w:r>
    </w:p>
    <w:p>
      <w:pPr>
        <w:pStyle w:val="ListBullet"/>
      </w:pPr>
      <w:r>
        <w:t>装车固定</w:t>
      </w:r>
    </w:p>
    <w:p>
      <w:pPr>
        <w:pStyle w:val="ListBullet"/>
      </w:pPr>
      <w:r>
        <w:t>随瓶安检</w:t>
      </w:r>
    </w:p>
    <w:p>
      <w:pPr>
        <w:pStyle w:val="ListBullet"/>
      </w:pPr>
      <w:r>
        <w:t>隐患识别和拒供/停供升级</w:t>
      </w:r>
    </w:p>
    <w:p>
      <w:pPr>
        <w:pStyle w:val="Heading3"/>
      </w:pPr>
      <w:r>
        <w:t>9.3 门店/网点</w:t>
      </w:r>
    </w:p>
    <w:p>
      <w:pPr>
        <w:pStyle w:val="ListBullet"/>
      </w:pPr>
      <w:r>
        <w:t>实名建档</w:t>
      </w:r>
    </w:p>
    <w:p>
      <w:pPr>
        <w:pStyle w:val="ListBullet"/>
      </w:pPr>
      <w:r>
        <w:t>异常客户识别</w:t>
      </w:r>
    </w:p>
    <w:p>
      <w:pPr>
        <w:pStyle w:val="ListBullet"/>
      </w:pPr>
      <w:r>
        <w:t>退户和押金口径</w:t>
      </w:r>
    </w:p>
    <w:p>
      <w:pPr>
        <w:pStyle w:val="ListBullet"/>
      </w:pPr>
      <w:r>
        <w:t>用户档案完整性</w:t>
      </w:r>
    </w:p>
    <w:p>
      <w:pPr>
        <w:pStyle w:val="Heading3"/>
      </w:pPr>
      <w:r>
        <w:t>9.4 安检与安全条线</w:t>
      </w:r>
    </w:p>
    <w:p>
      <w:pPr>
        <w:pStyle w:val="ListBullet"/>
      </w:pPr>
      <w:r>
        <w:t>重大隐患判定</w:t>
      </w:r>
    </w:p>
    <w:p>
      <w:pPr>
        <w:pStyle w:val="ListBullet"/>
      </w:pPr>
      <w:r>
        <w:t>书面告知规范</w:t>
      </w:r>
    </w:p>
    <w:p>
      <w:pPr>
        <w:pStyle w:val="ListBullet"/>
      </w:pPr>
      <w:r>
        <w:t>证据留存</w:t>
      </w:r>
    </w:p>
    <w:p>
      <w:pPr>
        <w:pStyle w:val="ListBullet"/>
      </w:pPr>
      <w:r>
        <w:t>整改闭环</w:t>
      </w:r>
    </w:p>
    <w:p>
      <w:pPr>
        <w:pStyle w:val="Heading2"/>
      </w:pPr>
      <w:r>
        <w:t>10. 这份终端运营体系的用途</w:t>
      </w:r>
    </w:p>
    <w:p>
      <w:r>
        <w:t>它可以直接拿来做四件事：</w:t>
      </w:r>
    </w:p>
    <w:p>
      <w:pPr>
        <w:pStyle w:val="ListBullet"/>
      </w:pPr>
      <w:r>
        <w:t>做终端管理制度</w:t>
      </w:r>
    </w:p>
    <w:p>
      <w:pPr>
        <w:pStyle w:val="ListBullet"/>
      </w:pPr>
      <w:r>
        <w:t>做客服/配送/安检岗位培训</w:t>
      </w:r>
    </w:p>
    <w:p>
      <w:pPr>
        <w:pStyle w:val="ListBullet"/>
      </w:pPr>
      <w:r>
        <w:t>做门店和供应站稽核</w:t>
      </w:r>
    </w:p>
    <w:p>
      <w:pPr>
        <w:pStyle w:val="ListBullet"/>
      </w:pPr>
      <w:r>
        <w:t>做周经营例会和问题复盘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