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06-缺口与后续采集计划</w:t>
      </w:r>
    </w:p>
    <w:p>
      <w:r/>
    </w:p>
    <w:p>
      <w:pPr>
        <w:pStyle w:val="Heading1"/>
      </w:pPr>
      <w:r>
        <w:t>缺口与后续采集计划</w:t>
      </w:r>
    </w:p>
    <w:p>
      <w:pPr>
        <w:pStyle w:val="Heading2"/>
      </w:pPr>
      <w:r>
        <w:t>当前已解决</w:t>
      </w:r>
    </w:p>
    <w:p>
      <w:pPr>
        <w:pStyle w:val="ListBullet"/>
      </w:pPr>
      <w:r>
        <w:t xml:space="preserve">已从本地原文确认 </w:t>
      </w:r>
      <w:r>
        <w:rPr>
          <w:rFonts w:ascii="Menlo" w:hAnsi="Menlo" w:eastAsia="Menlo"/>
        </w:rPr>
        <w:t>GB 51142-2015</w:t>
      </w:r>
      <w:r>
        <w:t xml:space="preserve"> 的适用范围、章节结构、核心强条和大量关键条文。</w:t>
      </w:r>
    </w:p>
    <w:p>
      <w:pPr>
        <w:pStyle w:val="ListBullet"/>
      </w:pPr>
      <w:r>
        <w:t>已从本地原文确认《广西壮族自治区燃气管理条例》的许可、安检、实名购气、报警切断、联合执法等条款。</w:t>
      </w:r>
    </w:p>
    <w:p>
      <w:pPr>
        <w:pStyle w:val="ListBullet"/>
      </w:pPr>
      <w:r>
        <w:t xml:space="preserve">已从官方来源确认现行法规主线和若干“最新版本”判断，尤其是气瓶技术规程已经不能继续停留在 </w:t>
      </w:r>
      <w:r>
        <w:rPr>
          <w:rFonts w:ascii="Menlo" w:hAnsi="Menlo" w:eastAsia="Menlo"/>
        </w:rPr>
        <w:t>TSG R0006-2014</w:t>
      </w:r>
      <w:r>
        <w:t>。</w:t>
      </w:r>
    </w:p>
    <w:p>
      <w:pPr>
        <w:pStyle w:val="ListBullet"/>
      </w:pPr>
      <w:r>
        <w:t xml:space="preserve">已抓取用户提供的 5 个网盘分享目录，共 1408 条记录，并筛出 1279 条 LPG/燃气相关文件线索；重点覆盖 </w:t>
      </w:r>
      <w:r>
        <w:rPr>
          <w:rFonts w:ascii="Menlo" w:hAnsi="Menlo" w:eastAsia="Menlo"/>
        </w:rPr>
        <w:t>GB/T 51474-2025</w:t>
      </w:r>
      <w:r>
        <w:t>、城镇燃气运行维护、LPG 钢瓶、充装、报警、计量检定和燃气服务导则等资料。</w:t>
      </w:r>
    </w:p>
    <w:p>
      <w:pPr>
        <w:pStyle w:val="Heading2"/>
      </w:pPr>
      <w:r>
        <w:t>当前缺口</w:t>
      </w:r>
    </w:p>
    <w:p>
      <w:pPr>
        <w:pStyle w:val="ListBullet"/>
      </w:pPr>
      <w:r>
        <w:rPr>
          <w:rFonts w:ascii="Menlo" w:hAnsi="Menlo" w:eastAsia="Menlo"/>
        </w:rPr>
        <w:t>GB 55009-2021</w:t>
      </w:r>
      <w:r>
        <w:t xml:space="preserve"> 本地 PDF 存在乱码，仍需补做更干净的条文级摘录。</w:t>
      </w:r>
    </w:p>
    <w:p>
      <w:pPr>
        <w:pStyle w:val="ListBullet"/>
      </w:pPr>
      <w:r>
        <w:rPr>
          <w:rFonts w:ascii="Menlo" w:hAnsi="Menlo" w:eastAsia="Menlo"/>
        </w:rPr>
        <w:t>GB 55037-2022</w:t>
      </w:r>
      <w:r>
        <w:t xml:space="preserve"> 本地 PDF 抽取效果差，暂以引用关系和关联标准为主，未做细条文卡片。</w:t>
      </w:r>
    </w:p>
    <w:p>
      <w:pPr>
        <w:pStyle w:val="ListBullet"/>
      </w:pPr>
      <w:r>
        <w:rPr>
          <w:rFonts w:ascii="Menlo" w:hAnsi="Menlo" w:eastAsia="Menlo"/>
        </w:rPr>
        <w:t>CJJ/T 146</w:t>
      </w:r>
      <w:r>
        <w:t>、燃气器具安装维修类标准尚未系统纳入。</w:t>
      </w:r>
    </w:p>
    <w:p>
      <w:pPr>
        <w:pStyle w:val="ListBullet"/>
      </w:pPr>
      <w:r>
        <w:t xml:space="preserve">瓶装供应站独立标准编号仍需继续核正；此前旧整理稿中的 </w:t>
      </w:r>
      <w:r>
        <w:rPr>
          <w:rFonts w:ascii="Menlo" w:hAnsi="Menlo" w:eastAsia="Menlo"/>
        </w:rPr>
        <w:t>CJJ/T 202</w:t>
      </w:r>
      <w:r>
        <w:t xml:space="preserve"> 映射已确认错误，不能继续沿用。</w:t>
      </w:r>
    </w:p>
    <w:p>
      <w:pPr>
        <w:pStyle w:val="ListBullet"/>
      </w:pPr>
      <w:r>
        <w:t xml:space="preserve">“瓶装燃气服务规范”主题仍需继续核正标准号后再纳入矩阵，当前不能直接沿用旧整理稿中的 </w:t>
      </w:r>
      <w:r>
        <w:rPr>
          <w:rFonts w:ascii="Menlo" w:hAnsi="Menlo" w:eastAsia="Menlo"/>
        </w:rPr>
        <w:t>GB/T 35432-2017</w:t>
      </w:r>
      <w:r>
        <w:t xml:space="preserve"> 表述。</w:t>
      </w:r>
    </w:p>
    <w:p>
      <w:pPr>
        <w:pStyle w:val="ListBullet"/>
      </w:pPr>
      <w:r>
        <w:t>网盘分享目前只完成目录级抓取，文件本体需要用户在阿里云盘/百度网盘客户端保存或授权后再批量下载；正式条文引用不能直接依据分享目录名称。</w:t>
      </w:r>
    </w:p>
    <w:p>
      <w:pPr>
        <w:pStyle w:val="Heading2"/>
      </w:pPr>
      <w:r>
        <w:t>下一步建议</w:t>
      </w:r>
    </w:p>
    <w:p>
      <w:pPr>
        <w:pStyle w:val="ListNumber"/>
      </w:pPr>
      <w:r>
        <w:t xml:space="preserve">先补 </w:t>
      </w:r>
      <w:r>
        <w:rPr>
          <w:rFonts w:ascii="Menlo" w:hAnsi="Menlo" w:eastAsia="Menlo"/>
        </w:rPr>
        <w:t>GB 55009-2021</w:t>
      </w:r>
      <w:r>
        <w:t>、</w:t>
      </w:r>
      <w:r>
        <w:rPr>
          <w:rFonts w:ascii="Menlo" w:hAnsi="Menlo" w:eastAsia="Menlo"/>
        </w:rPr>
        <w:t>GB 55037-2022</w:t>
      </w:r>
      <w:r>
        <w:t xml:space="preserve"> 的高频条文卡片</w:t>
      </w:r>
    </w:p>
    <w:p>
      <w:pPr>
        <w:pStyle w:val="ListNumber"/>
      </w:pPr>
      <w:r>
        <w:t xml:space="preserve">再补 </w:t>
      </w:r>
      <w:r>
        <w:rPr>
          <w:rFonts w:ascii="Menlo" w:hAnsi="Menlo" w:eastAsia="Menlo"/>
        </w:rPr>
        <w:t>CJJ/T 146</w:t>
      </w:r>
      <w:r>
        <w:t>、瓶装供应站标准编号核正、餐饮用户报警切断和用户侧器具类标准</w:t>
      </w:r>
    </w:p>
    <w:p>
      <w:pPr>
        <w:pStyle w:val="ListNumber"/>
      </w:pPr>
      <w:r>
        <w:t>然后把现有知识库拆成三类成果：</w:t>
      </w:r>
    </w:p>
    <w:p>
      <w:pPr>
        <w:pStyle w:val="ListBullet"/>
      </w:pPr>
      <w:r>
        <w:t>管理制度模板</w:t>
      </w:r>
    </w:p>
    <w:p>
      <w:pPr>
        <w:pStyle w:val="ListBullet"/>
      </w:pPr>
      <w:r>
        <w:t>检查表/隐患判定表</w:t>
      </w:r>
    </w:p>
    <w:p>
      <w:pPr>
        <w:pStyle w:val="ListBullet"/>
      </w:pPr>
      <w:r>
        <w:t>培训课件与考试题库</w:t>
      </w:r>
    </w:p>
    <w:p>
      <w:pPr>
        <w:pStyle w:val="ListNumber"/>
      </w:pPr>
      <w:r>
        <w:t xml:space="preserve">网盘文件下载授权完成后，优先下载并抽取 </w:t>
      </w:r>
      <w:r>
        <w:rPr>
          <w:rFonts w:ascii="Menlo" w:hAnsi="Menlo" w:eastAsia="Menlo"/>
        </w:rPr>
        <w:t>GB/T 51474-2025</w:t>
      </w:r>
      <w:r>
        <w:t xml:space="preserve"> 包、</w:t>
      </w:r>
      <w:r>
        <w:rPr>
          <w:rFonts w:ascii="Menlo" w:hAnsi="Menlo" w:eastAsia="Menlo"/>
        </w:rPr>
        <w:t>GB 11174-2011</w:t>
      </w:r>
      <w:r>
        <w:t>、</w:t>
      </w:r>
      <w:r>
        <w:rPr>
          <w:rFonts w:ascii="Menlo" w:hAnsi="Menlo" w:eastAsia="Menlo"/>
        </w:rPr>
        <w:t>GB 35844-2018</w:t>
      </w:r>
      <w:r>
        <w:t>、</w:t>
      </w:r>
      <w:r>
        <w:rPr>
          <w:rFonts w:ascii="Menlo" w:hAnsi="Menlo" w:eastAsia="Menlo"/>
        </w:rPr>
        <w:t>GB/T 5842-2023</w:t>
      </w:r>
      <w:r>
        <w:t>、</w:t>
      </w:r>
      <w:r>
        <w:rPr>
          <w:rFonts w:ascii="Menlo" w:hAnsi="Menlo" w:eastAsia="Menlo"/>
        </w:rPr>
        <w:t>TSG 23-2021</w:t>
      </w:r>
      <w:r>
        <w:t>、</w:t>
      </w:r>
      <w:r>
        <w:rPr>
          <w:rFonts w:ascii="Menlo" w:hAnsi="Menlo" w:eastAsia="Menlo"/>
        </w:rPr>
        <w:t>JJG 693-2011</w:t>
      </w:r>
      <w:r>
        <w:t>、</w:t>
      </w:r>
      <w:r>
        <w:rPr>
          <w:rFonts w:ascii="Menlo" w:hAnsi="Menlo" w:eastAsia="Menlo"/>
        </w:rPr>
        <w:t>JJG 997-2015</w:t>
      </w:r>
      <w:r>
        <w:t xml:space="preserve"> 和两条 2025 标准宣贯视频。</w:t>
      </w:r>
    </w:p>
    <w:p>
      <w:pPr>
        <w:pStyle w:val="Heading2"/>
      </w:pPr>
      <w:r>
        <w:t>可以继续自动化的方向</w:t>
      </w:r>
    </w:p>
    <w:p>
      <w:pPr>
        <w:pStyle w:val="ListBullet"/>
      </w:pPr>
      <w:r>
        <w:t>把岗位职责库映射到法规责任矩阵</w:t>
      </w:r>
    </w:p>
    <w:p>
      <w:pPr>
        <w:pStyle w:val="ListBullet"/>
      </w:pPr>
      <w:r>
        <w:t>把下载中心文件映射到知识库索引</w:t>
      </w:r>
    </w:p>
    <w:p>
      <w:pPr>
        <w:pStyle w:val="ListBullet"/>
      </w:pPr>
      <w:r>
        <w:t>生成“按监管部门分类”的检查包</w:t>
      </w:r>
    </w:p>
    <w:p>
      <w:pPr>
        <w:pStyle w:val="ListBullet"/>
      </w:pPr>
      <w:r>
        <w:t>生成“按岗位分类”的学习路径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