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16-LPG隐患整改闭环模板</w:t>
      </w:r>
    </w:p>
    <w:p>
      <w:r/>
    </w:p>
    <w:p>
      <w:pPr>
        <w:pStyle w:val="Heading1"/>
      </w:pPr>
      <w:r>
        <w:t>LPG隐患整改闭环模板</w:t>
      </w:r>
    </w:p>
    <w:p>
      <w:r>
        <w:t>更新时间：2026-04-21</w:t>
      </w:r>
    </w:p>
    <w:p>
      <w:r>
        <w:t>这份模板把整改工作拆成 4 个最常用的动作：</w:t>
      </w:r>
    </w:p>
    <w:p>
      <w:pPr>
        <w:pStyle w:val="ListNumber"/>
      </w:pPr>
      <w:r>
        <w:t>整改通知</w:t>
      </w:r>
    </w:p>
    <w:p>
      <w:pPr>
        <w:pStyle w:val="ListNumber"/>
      </w:pPr>
      <w:r>
        <w:t>整改台账</w:t>
      </w:r>
    </w:p>
    <w:p>
      <w:pPr>
        <w:pStyle w:val="ListNumber"/>
      </w:pPr>
      <w:r>
        <w:t>复查销号</w:t>
      </w:r>
    </w:p>
    <w:p>
      <w:pPr>
        <w:pStyle w:val="ListNumber"/>
      </w:pPr>
      <w:r>
        <w:t>用户侧书面告知</w:t>
      </w:r>
    </w:p>
    <w:p>
      <w:pPr>
        <w:pStyle w:val="Heading2"/>
      </w:pPr>
      <w:r>
        <w:t>一、隐患整改通知单模板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字段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填写内容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</w:t>
            </w:r>
          </w:p>
        </w:tc>
      </w:tr>
      <w:tr>
        <w:tc>
          <w:tcPr>
            <w:tcW w:type="dxa" w:w="4320"/>
          </w:tcPr>
          <w:p>
            <w:r>
              <w:t>通知单编号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被通知单位/部门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检查日期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问题位置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问题描述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风险等级</w:t>
            </w:r>
          </w:p>
        </w:tc>
        <w:tc>
          <w:tcPr>
            <w:tcW w:type="dxa" w:w="4320"/>
          </w:tcPr>
          <w:p>
            <w:r>
              <w:t>一般 / 较大 / 重大</w:t>
            </w:r>
          </w:p>
        </w:tc>
      </w:tr>
      <w:tr>
        <w:tc>
          <w:tcPr>
            <w:tcW w:type="dxa" w:w="4320"/>
          </w:tcPr>
          <w:p>
            <w:r>
              <w:t>主要依据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现场证据</w:t>
            </w:r>
          </w:p>
        </w:tc>
        <w:tc>
          <w:tcPr>
            <w:tcW w:type="dxa" w:w="4320"/>
          </w:tcPr>
          <w:p>
            <w:r>
              <w:t>照片 / 视频 / 台账 / 测试记录 / 访谈</w:t>
            </w:r>
          </w:p>
        </w:tc>
      </w:tr>
      <w:tr>
        <w:tc>
          <w:tcPr>
            <w:tcW w:type="dxa" w:w="4320"/>
          </w:tcPr>
          <w:p>
            <w:r>
              <w:t>立即控制措施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整改要求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整改责任人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完成时限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复查人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签收人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3"/>
      </w:pPr>
      <w:r>
        <w:t>推荐写法</w:t>
      </w:r>
    </w:p>
    <w:p>
      <w:pPr>
        <w:pStyle w:val="ListBullet"/>
      </w:pPr>
      <w:r>
        <w:t>问题描述要写清“对象 + 状态 + 风险”，不要只写“存在隐患”</w:t>
      </w:r>
    </w:p>
    <w:p>
      <w:pPr>
        <w:pStyle w:val="ListBullet"/>
      </w:pPr>
      <w:r>
        <w:t>主要依据优先写现行法规、规范或企业制度</w:t>
      </w:r>
    </w:p>
    <w:p>
      <w:pPr>
        <w:pStyle w:val="ListBullet"/>
      </w:pPr>
      <w:r>
        <w:t>立即控制措施要先管风险，再谈永久整改</w:t>
      </w:r>
    </w:p>
    <w:p>
      <w:pPr>
        <w:pStyle w:val="Heading2"/>
      </w:pPr>
      <w:r>
        <w:t>二、隐患整改台账模板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>
        <w:tc>
          <w:tcPr>
            <w:tcW w:type="dxa" w:w="720"/>
          </w:tcPr>
          <w:p>
            <w:r>
              <w:rPr>
                <w:b/>
              </w:rPr>
              <w:t>编号</w:t>
            </w:r>
          </w:p>
        </w:tc>
        <w:tc>
          <w:tcPr>
            <w:tcW w:type="dxa" w:w="720"/>
          </w:tcPr>
          <w:p>
            <w:r>
              <w:rPr>
                <w:b/>
              </w:rPr>
              <w:t>发现日期</w:t>
            </w:r>
          </w:p>
        </w:tc>
        <w:tc>
          <w:tcPr>
            <w:tcW w:type="dxa" w:w="720"/>
          </w:tcPr>
          <w:p>
            <w:r>
              <w:rPr>
                <w:b/>
              </w:rPr>
              <w:t>场景</w:t>
            </w:r>
          </w:p>
        </w:tc>
        <w:tc>
          <w:tcPr>
            <w:tcW w:type="dxa" w:w="720"/>
          </w:tcPr>
          <w:p>
            <w:r>
              <w:rPr>
                <w:b/>
              </w:rPr>
              <w:t>问题描述</w:t>
            </w:r>
          </w:p>
        </w:tc>
        <w:tc>
          <w:tcPr>
            <w:tcW w:type="dxa" w:w="720"/>
          </w:tcPr>
          <w:p>
            <w:r>
              <w:rPr>
                <w:b/>
              </w:rPr>
              <w:t>风险等级</w:t>
            </w:r>
          </w:p>
        </w:tc>
        <w:tc>
          <w:tcPr>
            <w:tcW w:type="dxa" w:w="720"/>
          </w:tcPr>
          <w:p>
            <w:r>
              <w:rPr>
                <w:b/>
              </w:rPr>
              <w:t>主要依据</w:t>
            </w:r>
          </w:p>
        </w:tc>
        <w:tc>
          <w:tcPr>
            <w:tcW w:type="dxa" w:w="720"/>
          </w:tcPr>
          <w:p>
            <w:r>
              <w:rPr>
                <w:b/>
              </w:rPr>
              <w:t>即时措施</w:t>
            </w:r>
          </w:p>
        </w:tc>
        <w:tc>
          <w:tcPr>
            <w:tcW w:type="dxa" w:w="720"/>
          </w:tcPr>
          <w:p>
            <w:r>
              <w:rPr>
                <w:b/>
              </w:rPr>
              <w:t>长期整改措施</w:t>
            </w:r>
          </w:p>
        </w:tc>
        <w:tc>
          <w:tcPr>
            <w:tcW w:type="dxa" w:w="720"/>
          </w:tcPr>
          <w:p>
            <w:r>
              <w:rPr>
                <w:b/>
              </w:rPr>
              <w:t>责任人</w:t>
            </w:r>
          </w:p>
        </w:tc>
        <w:tc>
          <w:tcPr>
            <w:tcW w:type="dxa" w:w="720"/>
          </w:tcPr>
          <w:p>
            <w:r>
              <w:rPr>
                <w:b/>
              </w:rPr>
              <w:t>期限</w:t>
            </w:r>
          </w:p>
        </w:tc>
        <w:tc>
          <w:tcPr>
            <w:tcW w:type="dxa" w:w="720"/>
          </w:tcPr>
          <w:p>
            <w:r>
              <w:rPr>
                <w:b/>
              </w:rPr>
              <w:t>当前状态</w:t>
            </w:r>
          </w:p>
        </w:tc>
        <w:tc>
          <w:tcPr>
            <w:tcW w:type="dxa" w:w="720"/>
          </w:tcPr>
          <w:p>
            <w:r>
              <w:rPr>
                <w:b/>
              </w:rPr>
              <w:t>复查结论</w:t>
            </w:r>
          </w:p>
        </w:tc>
      </w:tr>
      <w:tr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  <w:tc>
          <w:tcPr>
            <w:tcW w:type="dxa" w:w="720"/>
          </w:tcPr>
          <w:p>
            <w:r>
              <w:t>---</w:t>
            </w:r>
          </w:p>
        </w:tc>
      </w:tr>
      <w:tr>
        <w:tc>
          <w:tcPr>
            <w:tcW w:type="dxa" w:w="720"/>
          </w:tcPr>
          <w:p>
            <w:r>
              <w:t>LPG-R001</w:t>
            </w:r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>
              <w:t>站场/终端/配送/用户</w:t>
            </w:r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/>
          </w:p>
        </w:tc>
        <w:tc>
          <w:tcPr>
            <w:tcW w:type="dxa" w:w="720"/>
          </w:tcPr>
          <w:p>
            <w:r>
              <w:t>未启动/整改中/待复查/已销号</w:t>
            </w:r>
          </w:p>
        </w:tc>
        <w:tc>
          <w:tcPr>
            <w:tcW w:type="dxa" w:w="720"/>
          </w:tcPr>
          <w:p>
            <w:r/>
          </w:p>
        </w:tc>
      </w:tr>
    </w:tbl>
    <w:p>
      <w:pPr>
        <w:pStyle w:val="Heading3"/>
      </w:pPr>
      <w:r>
        <w:t>台账管理建议</w:t>
      </w:r>
    </w:p>
    <w:p>
      <w:pPr>
        <w:pStyle w:val="ListBullet"/>
      </w:pPr>
      <w:r>
        <w:t>每个问题都要有唯一编号</w:t>
      </w:r>
    </w:p>
    <w:p>
      <w:pPr>
        <w:pStyle w:val="ListBullet"/>
      </w:pPr>
      <w:r>
        <w:t>即时措施和长期整改措施必须分开写</w:t>
      </w:r>
    </w:p>
    <w:p>
      <w:pPr>
        <w:pStyle w:val="ListBullet"/>
      </w:pPr>
      <w:r>
        <w:t>对逾期未完成问题设置升级督办栏</w:t>
      </w:r>
    </w:p>
    <w:p>
      <w:pPr>
        <w:pStyle w:val="ListBullet"/>
      </w:pPr>
      <w:r>
        <w:t>对重复出现问题增加“复发次数”字段</w:t>
      </w:r>
    </w:p>
    <w:p>
      <w:pPr>
        <w:pStyle w:val="Heading2"/>
      </w:pPr>
      <w:r>
        <w:t>三、复查销号记录模板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字段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填写内容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</w:t>
            </w:r>
          </w:p>
        </w:tc>
      </w:tr>
      <w:tr>
        <w:tc>
          <w:tcPr>
            <w:tcW w:type="dxa" w:w="4320"/>
          </w:tcPr>
          <w:p>
            <w:r>
              <w:t>复查编号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对应整改编号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复查日期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复查人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现场核查情况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资料核查情况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是否达到整改要求</w:t>
            </w:r>
          </w:p>
        </w:tc>
        <w:tc>
          <w:tcPr>
            <w:tcW w:type="dxa" w:w="4320"/>
          </w:tcPr>
          <w:p>
            <w:r>
              <w:t>是 / 否</w:t>
            </w:r>
          </w:p>
        </w:tc>
      </w:tr>
      <w:tr>
        <w:tc>
          <w:tcPr>
            <w:tcW w:type="dxa" w:w="4320"/>
          </w:tcPr>
          <w:p>
            <w:r>
              <w:t>未达到项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继续措施</w:t>
            </w:r>
          </w:p>
        </w:tc>
        <w:tc>
          <w:tcPr>
            <w:tcW w:type="dxa" w:w="4320"/>
          </w:tcPr>
          <w:p>
            <w:r>
              <w:t>继续整改 / 停供 / 停用 / 升级督办</w:t>
            </w:r>
          </w:p>
        </w:tc>
      </w:tr>
      <w:tr>
        <w:tc>
          <w:tcPr>
            <w:tcW w:type="dxa" w:w="4320"/>
          </w:tcPr>
          <w:p>
            <w:r>
              <w:t>是否销号</w:t>
            </w:r>
          </w:p>
        </w:tc>
        <w:tc>
          <w:tcPr>
            <w:tcW w:type="dxa" w:w="4320"/>
          </w:tcPr>
          <w:p>
            <w:r>
              <w:t>是 / 否</w:t>
            </w:r>
          </w:p>
        </w:tc>
      </w:tr>
      <w:tr>
        <w:tc>
          <w:tcPr>
            <w:tcW w:type="dxa" w:w="4320"/>
          </w:tcPr>
          <w:p>
            <w:r>
              <w:t>备注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2"/>
      </w:pPr>
      <w:r>
        <w:t>四、用户侧隐患书面告知单模板</w:t>
      </w:r>
    </w:p>
    <w:p>
      <w:r>
        <w:t>适用场景：</w:t>
      </w:r>
    </w:p>
    <w:p>
      <w:pPr>
        <w:pStyle w:val="ListBullet"/>
      </w:pPr>
      <w:r>
        <w:t>入户安检发现问题</w:t>
      </w:r>
    </w:p>
    <w:p>
      <w:pPr>
        <w:pStyle w:val="ListBullet"/>
      </w:pPr>
      <w:r>
        <w:t>餐饮用户报警切断缺失</w:t>
      </w:r>
    </w:p>
    <w:p>
      <w:pPr>
        <w:pStyle w:val="ListBullet"/>
      </w:pPr>
      <w:r>
        <w:t>用户侧存在淘汰器具、老化软管、问题减压阀</w:t>
      </w:r>
    </w:p>
    <w:p>
      <w:pPr>
        <w:pStyle w:val="ListBullet"/>
      </w:pPr>
      <w:r>
        <w:t>用户拒绝整改但仍存在明显风险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字段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填写内容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</w:t>
            </w:r>
          </w:p>
        </w:tc>
      </w:tr>
      <w:tr>
        <w:tc>
          <w:tcPr>
            <w:tcW w:type="dxa" w:w="4320"/>
          </w:tcPr>
          <w:p>
            <w:r>
              <w:t>告知单编号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用户名称/地址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用户类型</w:t>
            </w:r>
          </w:p>
        </w:tc>
        <w:tc>
          <w:tcPr>
            <w:tcW w:type="dxa" w:w="4320"/>
          </w:tcPr>
          <w:p>
            <w:r>
              <w:t>居民 / 餐饮 / 单位食堂 / 商业用户</w:t>
            </w:r>
          </w:p>
        </w:tc>
      </w:tr>
      <w:tr>
        <w:tc>
          <w:tcPr>
            <w:tcW w:type="dxa" w:w="4320"/>
          </w:tcPr>
          <w:p>
            <w:r>
              <w:t>检查日期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发现问题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风险提示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整改要求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整改期限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复查安排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用户签收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检查人</w:t>
            </w:r>
          </w:p>
        </w:tc>
        <w:tc>
          <w:tcPr>
            <w:tcW w:type="dxa" w:w="4320"/>
          </w:tcPr>
          <w:p>
            <w:r/>
          </w:p>
        </w:tc>
      </w:tr>
    </w:tbl>
    <w:p>
      <w:pPr>
        <w:pStyle w:val="Heading3"/>
      </w:pPr>
      <w:r>
        <w:t>用户告知的 4 个关键点</w:t>
      </w:r>
    </w:p>
    <w:p>
      <w:pPr>
        <w:pStyle w:val="ListBullet"/>
      </w:pPr>
      <w:r>
        <w:t>写清“继续使用的风险”</w:t>
      </w:r>
    </w:p>
    <w:p>
      <w:pPr>
        <w:pStyle w:val="ListBullet"/>
      </w:pPr>
      <w:r>
        <w:t>写清“整改前是否限制继续供气”</w:t>
      </w:r>
    </w:p>
    <w:p>
      <w:pPr>
        <w:pStyle w:val="ListBullet"/>
      </w:pPr>
      <w:r>
        <w:t>写清“整改期限和复查方式”</w:t>
      </w:r>
    </w:p>
    <w:p>
      <w:pPr>
        <w:pStyle w:val="ListBullet"/>
      </w:pPr>
      <w:r>
        <w:t>形成签收闭环，拒签要留痕</w:t>
      </w:r>
    </w:p>
    <w:p>
      <w:pPr>
        <w:pStyle w:val="Heading2"/>
      </w:pPr>
      <w:r>
        <w:t>五、常见问题写法示例</w:t>
      </w:r>
    </w:p>
    <w:p>
      <w:pPr>
        <w:pStyle w:val="Heading3"/>
      </w:pPr>
      <w:r>
        <w:t>示例 1：报警切断缺失</w:t>
      </w:r>
    </w:p>
    <w:p>
      <w:pPr>
        <w:pStyle w:val="ListBullet"/>
      </w:pPr>
      <w:r>
        <w:t>问题描述：餐饮用户后厨已使用瓶装液化石油气，但未安装燃气泄漏报警和紧急切断装置。</w:t>
      </w:r>
    </w:p>
    <w:p>
      <w:pPr>
        <w:pStyle w:val="ListBullet"/>
      </w:pPr>
      <w:r>
        <w:t>主要依据：</w:t>
      </w:r>
      <w:r>
        <w:rPr>
          <w:rFonts w:ascii="Menlo" w:hAnsi="Menlo" w:eastAsia="Menlo"/>
        </w:rPr>
        <w:t>广西壮族自治区燃气管理条例</w:t>
      </w:r>
      <w:r>
        <w:t xml:space="preserve"> 第 </w:t>
      </w:r>
      <w:r>
        <w:rPr>
          <w:rFonts w:ascii="Menlo" w:hAnsi="Menlo" w:eastAsia="Menlo"/>
        </w:rPr>
        <w:t>37</w:t>
      </w:r>
      <w:r>
        <w:t>、</w:t>
      </w:r>
      <w:r>
        <w:rPr>
          <w:rFonts w:ascii="Menlo" w:hAnsi="Menlo" w:eastAsia="Menlo"/>
        </w:rPr>
        <w:t>55</w:t>
      </w:r>
      <w:r>
        <w:t xml:space="preserve"> 条。</w:t>
      </w:r>
    </w:p>
    <w:p>
      <w:pPr>
        <w:pStyle w:val="ListBullet"/>
      </w:pPr>
      <w:r>
        <w:t>立即控制措施：列入重点风险用户，暂停新增供气或限期整改后复供。</w:t>
      </w:r>
    </w:p>
    <w:p>
      <w:pPr>
        <w:pStyle w:val="ListBullet"/>
      </w:pPr>
      <w:r>
        <w:t>长期整改措施：建立餐饮用户准入审核和年度复查机制。</w:t>
      </w:r>
    </w:p>
    <w:p>
      <w:pPr>
        <w:pStyle w:val="Heading3"/>
      </w:pPr>
      <w:r>
        <w:t>示例 2：入户安检后未形成闭环</w:t>
      </w:r>
    </w:p>
    <w:p>
      <w:pPr>
        <w:pStyle w:val="ListBullet"/>
      </w:pPr>
      <w:r>
        <w:t>问题描述：安检发现用户连接软管老化，但未出具书面告知，后续也无复查记录。</w:t>
      </w:r>
    </w:p>
    <w:p>
      <w:pPr>
        <w:pStyle w:val="ListBullet"/>
      </w:pPr>
      <w:r>
        <w:t xml:space="preserve">主要依据：广西条例第 </w:t>
      </w:r>
      <w:r>
        <w:rPr>
          <w:rFonts w:ascii="Menlo" w:hAnsi="Menlo" w:eastAsia="Menlo"/>
        </w:rPr>
        <w:t>25</w:t>
      </w:r>
      <w:r>
        <w:t xml:space="preserve"> 条；专项整治关于用户侧治理要求。</w:t>
      </w:r>
    </w:p>
    <w:p>
      <w:pPr>
        <w:pStyle w:val="ListBullet"/>
      </w:pPr>
      <w:r>
        <w:t>立即控制措施：补发告知单，约定整改期限。</w:t>
      </w:r>
    </w:p>
    <w:p>
      <w:pPr>
        <w:pStyle w:val="ListBullet"/>
      </w:pPr>
      <w:r>
        <w:t>长期整改措施：建立“安检 - 告知 - 复查 - 销号”数字化闭环。</w:t>
      </w:r>
    </w:p>
    <w:p>
      <w:pPr>
        <w:pStyle w:val="Heading3"/>
      </w:pPr>
      <w:r>
        <w:t>示例 3：瓶库实瓶空瓶混放</w:t>
      </w:r>
    </w:p>
    <w:p>
      <w:pPr>
        <w:pStyle w:val="ListBullet"/>
      </w:pPr>
      <w:r>
        <w:t>问题描述：瓶装供应站实瓶、空瓶、待检瓶未分区堆放，且通道被占用。</w:t>
      </w:r>
    </w:p>
    <w:p>
      <w:pPr>
        <w:pStyle w:val="ListBullet"/>
      </w:pPr>
      <w:r>
        <w:t>主要依据：</w:t>
      </w:r>
      <w:r>
        <w:rPr>
          <w:rFonts w:ascii="Menlo" w:hAnsi="Menlo" w:eastAsia="Menlo"/>
        </w:rPr>
        <w:t>GB 51142-2015</w:t>
      </w:r>
      <w:r>
        <w:t>；瓶装供应站条件类要求。</w:t>
      </w:r>
    </w:p>
    <w:p>
      <w:pPr>
        <w:pStyle w:val="ListBullet"/>
      </w:pPr>
      <w:r>
        <w:t>立即控制措施：立即清理通道并分区隔离。</w:t>
      </w:r>
    </w:p>
    <w:p>
      <w:pPr>
        <w:pStyle w:val="ListBullet"/>
      </w:pPr>
      <w:r>
        <w:t>长期整改措施：按库位重新划线，纳入班组交接清单。</w:t>
      </w:r>
    </w:p>
    <w:p>
      <w:pPr>
        <w:pStyle w:val="Heading2"/>
      </w:pPr>
      <w:r>
        <w:t>六、整改升级规则建议</w:t>
      </w:r>
    </w:p>
    <w:p>
      <w:pPr>
        <w:pStyle w:val="ListBullet"/>
      </w:pPr>
      <w:r>
        <w:rPr>
          <w:rFonts w:ascii="Menlo" w:hAnsi="Menlo" w:eastAsia="Menlo"/>
        </w:rPr>
        <w:t>一般问题</w:t>
      </w:r>
      <w:r>
        <w:t>：限期整改，按计划复查</w:t>
      </w:r>
    </w:p>
    <w:p>
      <w:pPr>
        <w:pStyle w:val="ListBullet"/>
      </w:pPr>
      <w:r>
        <w:rPr>
          <w:rFonts w:ascii="Menlo" w:hAnsi="Menlo" w:eastAsia="Menlo"/>
        </w:rPr>
        <w:t>较大问题</w:t>
      </w:r>
      <w:r>
        <w:t>：立即采取风险控制措施，缩短整改周期</w:t>
      </w:r>
    </w:p>
    <w:p>
      <w:pPr>
        <w:pStyle w:val="ListBullet"/>
      </w:pPr>
      <w:r>
        <w:rPr>
          <w:rFonts w:ascii="Menlo" w:hAnsi="Menlo" w:eastAsia="Menlo"/>
        </w:rPr>
        <w:t>重大问题</w:t>
      </w:r>
      <w:r>
        <w:t>：先控风险，必要时停供、停用、停作业，再进入整改</w:t>
      </w:r>
    </w:p>
    <w:p>
      <w:pPr>
        <w:pStyle w:val="Heading2"/>
      </w:pPr>
      <w:r>
        <w:t>七、和知识库其他文件的配合</w:t>
      </w:r>
    </w:p>
    <w:p>
      <w:pPr>
        <w:pStyle w:val="ListBullet"/>
      </w:pPr>
      <w:r>
        <w:t xml:space="preserve">依据不清时，先查 </w:t>
      </w:r>
      <w:r>
        <w:rPr>
          <w:rFonts w:ascii="Menlo" w:hAnsi="Menlo" w:eastAsia="Menlo"/>
        </w:rPr>
        <w:t>04-标准法规矩阵.md</w:t>
      </w:r>
    </w:p>
    <w:p>
      <w:pPr>
        <w:pStyle w:val="ListBullet"/>
      </w:pPr>
      <w:r>
        <w:t xml:space="preserve">场景判断不清时，先查 </w:t>
      </w:r>
      <w:r>
        <w:rPr>
          <w:rFonts w:ascii="Menlo" w:hAnsi="Menlo" w:eastAsia="Menlo"/>
        </w:rPr>
        <w:t>05-高频场景与检查逻辑.md</w:t>
      </w:r>
    </w:p>
    <w:p>
      <w:pPr>
        <w:pStyle w:val="ListBullet"/>
      </w:pPr>
      <w:r>
        <w:t xml:space="preserve">处罚匹配、证据要求不清时，先查 </w:t>
      </w:r>
      <w:r>
        <w:rPr>
          <w:rFonts w:ascii="Menlo" w:hAnsi="Menlo" w:eastAsia="Menlo"/>
        </w:rPr>
        <w:t>09-违规问题与规范匹配库.md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