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14-GB55009与GB55037条文卡片骨架</w:t>
      </w:r>
    </w:p>
    <w:p>
      <w:r/>
    </w:p>
    <w:p>
      <w:pPr>
        <w:pStyle w:val="Heading1"/>
      </w:pPr>
      <w:r>
        <w:t>GB55009与GB55037条文卡片骨架</w:t>
      </w:r>
    </w:p>
    <w:p>
      <w:r>
        <w:t>更新时间：2026-04-21</w:t>
      </w:r>
    </w:p>
    <w:p>
      <w:r>
        <w:t xml:space="preserve">这份文件的目的，不是替代规范原文，而是把 </w:t>
      </w:r>
      <w:r>
        <w:rPr>
          <w:rFonts w:ascii="Menlo" w:hAnsi="Menlo" w:eastAsia="Menlo"/>
        </w:rPr>
        <w:t>GB 55009-2021</w:t>
      </w:r>
      <w:r>
        <w:t xml:space="preserve"> 与 </w:t>
      </w:r>
      <w:r>
        <w:rPr>
          <w:rFonts w:ascii="Menlo" w:hAnsi="Menlo" w:eastAsia="Menlo"/>
        </w:rPr>
        <w:t>GB 55037-2022</w:t>
      </w:r>
      <w:r>
        <w:t xml:space="preserve"> 中最值得优先核校、最常被用于检查整改的主题，先搭成条文卡片骨架。</w:t>
      </w:r>
    </w:p>
    <w:p>
      <w:r>
        <w:t xml:space="preserve">截至 </w:t>
      </w:r>
      <w:r>
        <w:rPr>
          <w:rFonts w:ascii="Menlo" w:hAnsi="Menlo" w:eastAsia="Menlo"/>
        </w:rPr>
        <w:t>2026-04-21</w:t>
      </w:r>
      <w:r>
        <w:t>：</w:t>
      </w:r>
    </w:p>
    <w:p>
      <w:pPr>
        <w:pStyle w:val="ListBullet"/>
      </w:pPr>
      <w:r>
        <w:t>两本规范的现行地位已通过住建部标准公告目录得到确认。</w:t>
      </w:r>
    </w:p>
    <w:p>
      <w:pPr>
        <w:pStyle w:val="ListBullet"/>
      </w:pPr>
      <w:r>
        <w:t>你本地 PDF 可作为学习线索，但自动抽取质量不稳定，不适合直接把机器提取结果当处罚或定性依据。</w:t>
      </w:r>
    </w:p>
    <w:p>
      <w:pPr>
        <w:pStyle w:val="ListBullet"/>
      </w:pPr>
      <w:r>
        <w:t xml:space="preserve">因此本文件采用 </w:t>
      </w:r>
      <w:r>
        <w:rPr>
          <w:rFonts w:ascii="Menlo" w:hAnsi="Menlo" w:eastAsia="Menlo"/>
        </w:rPr>
        <w:t>主题卡片 + 核校提示 + 场景映射</w:t>
      </w:r>
      <w:r>
        <w:t xml:space="preserve"> 的方式，先保证知识库能用于迎检、培训和制度编写，再逐步补成原文级摘录。</w:t>
      </w:r>
    </w:p>
    <w:p>
      <w:pPr>
        <w:pStyle w:val="Heading2"/>
      </w:pPr>
      <w:r>
        <w:t>一、使用规则</w:t>
      </w:r>
    </w:p>
    <w:p>
      <w:pPr>
        <w:pStyle w:val="Heading3"/>
      </w:pPr>
      <w:r>
        <w:t>1. 核校状态怎么理解</w:t>
      </w:r>
    </w:p>
    <w:p>
      <w:pPr>
        <w:pStyle w:val="ListBullet"/>
      </w:pPr>
      <w:r>
        <w:rPr>
          <w:rFonts w:ascii="Menlo" w:hAnsi="Menlo" w:eastAsia="Menlo"/>
        </w:rPr>
        <w:t>A 级</w:t>
      </w:r>
      <w:r>
        <w:t xml:space="preserve">：主题地位明确，且可与 </w:t>
      </w:r>
      <w:r>
        <w:rPr>
          <w:rFonts w:ascii="Menlo" w:hAnsi="Menlo" w:eastAsia="Menlo"/>
        </w:rPr>
        <w:t>GB 51142-2015</w:t>
      </w:r>
      <w:r>
        <w:t>、广西条例、重大隐患判定标准等已核依据稳定联用。</w:t>
      </w:r>
    </w:p>
    <w:p>
      <w:pPr>
        <w:pStyle w:val="ListBullet"/>
      </w:pPr>
      <w:r>
        <w:rPr>
          <w:rFonts w:ascii="Menlo" w:hAnsi="Menlo" w:eastAsia="Menlo"/>
        </w:rPr>
        <w:t>B 级</w:t>
      </w:r>
      <w:r>
        <w:t>：主题方向明确，但具体条款号、精确表述仍需回原规范原文逐条核校。</w:t>
      </w:r>
    </w:p>
    <w:p>
      <w:pPr>
        <w:pStyle w:val="ListBullet"/>
      </w:pPr>
      <w:r>
        <w:rPr>
          <w:rFonts w:ascii="Menlo" w:hAnsi="Menlo" w:eastAsia="Menlo"/>
        </w:rPr>
        <w:t>C 级</w:t>
      </w:r>
      <w:r>
        <w:t>：仅确认应纳入，不建议当前直接用于对外定性。</w:t>
      </w:r>
    </w:p>
    <w:p>
      <w:pPr>
        <w:pStyle w:val="Heading3"/>
      </w:pPr>
      <w:r>
        <w:t>2. 这份卡片适合干什么</w:t>
      </w:r>
    </w:p>
    <w:p>
      <w:pPr>
        <w:pStyle w:val="ListBullet"/>
      </w:pPr>
      <w:r>
        <w:t>做迎检提纲</w:t>
      </w:r>
    </w:p>
    <w:p>
      <w:pPr>
        <w:pStyle w:val="ListBullet"/>
      </w:pPr>
      <w:r>
        <w:t>做制度目录</w:t>
      </w:r>
    </w:p>
    <w:p>
      <w:pPr>
        <w:pStyle w:val="ListBullet"/>
      </w:pPr>
      <w:r>
        <w:t>做检查表字段</w:t>
      </w:r>
    </w:p>
    <w:p>
      <w:pPr>
        <w:pStyle w:val="ListBullet"/>
      </w:pPr>
      <w:r>
        <w:t>做培训课件目录</w:t>
      </w:r>
    </w:p>
    <w:p>
      <w:pPr>
        <w:pStyle w:val="ListBullet"/>
      </w:pPr>
      <w:r>
        <w:t>做整改台账的依据栏预设</w:t>
      </w:r>
    </w:p>
    <w:p>
      <w:pPr>
        <w:pStyle w:val="Heading3"/>
      </w:pPr>
      <w:r>
        <w:t>3. 这份卡片不适合干什么</w:t>
      </w:r>
    </w:p>
    <w:p>
      <w:pPr>
        <w:pStyle w:val="ListBullet"/>
      </w:pPr>
      <w:r>
        <w:t>不替代原规范原文</w:t>
      </w:r>
    </w:p>
    <w:p>
      <w:pPr>
        <w:pStyle w:val="ListBullet"/>
      </w:pPr>
      <w:r>
        <w:t>不直接作为处罚文书唯一依据</w:t>
      </w:r>
    </w:p>
    <w:p>
      <w:pPr>
        <w:pStyle w:val="ListBullet"/>
      </w:pPr>
      <w:r>
        <w:t>不把未经核校的具体数字、条款号直接对外引用</w:t>
      </w:r>
    </w:p>
    <w:p>
      <w:pPr>
        <w:pStyle w:val="Heading2"/>
      </w:pPr>
      <w:r>
        <w:t>二、GB 55009-2021 高优先级卡片骨架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rPr>
                <w:b/>
              </w:rPr>
              <w:t>编号</w:t>
            </w:r>
          </w:p>
        </w:tc>
        <w:tc>
          <w:tcPr>
            <w:tcW w:type="dxa" w:w="1440"/>
          </w:tcPr>
          <w:p>
            <w:r>
              <w:rPr>
                <w:b/>
              </w:rPr>
              <w:t>主题</w:t>
            </w:r>
          </w:p>
        </w:tc>
        <w:tc>
          <w:tcPr>
            <w:tcW w:type="dxa" w:w="1440"/>
          </w:tcPr>
          <w:p>
            <w:r>
              <w:rPr>
                <w:b/>
              </w:rPr>
              <w:t>核校状态</w:t>
            </w:r>
          </w:p>
        </w:tc>
        <w:tc>
          <w:tcPr>
            <w:tcW w:type="dxa" w:w="1440"/>
          </w:tcPr>
          <w:p>
            <w:r>
              <w:rPr>
                <w:b/>
              </w:rPr>
              <w:t>典型使用场景</w:t>
            </w:r>
          </w:p>
        </w:tc>
        <w:tc>
          <w:tcPr>
            <w:tcW w:type="dxa" w:w="1440"/>
          </w:tcPr>
          <w:p>
            <w:r>
              <w:rPr>
                <w:b/>
              </w:rPr>
              <w:t>本轮先落地的检查语言</w:t>
            </w:r>
          </w:p>
        </w:tc>
        <w:tc>
          <w:tcPr>
            <w:tcW w:type="dxa" w:w="1440"/>
          </w:tcPr>
          <w:p>
            <w:r>
              <w:rPr>
                <w:b/>
              </w:rPr>
              <w:t>后续回原文重点</w:t>
            </w:r>
          </w:p>
        </w:tc>
      </w:tr>
      <w:tr>
        <w:tc>
          <w:tcPr>
            <w:tcW w:type="dxa" w:w="1440"/>
          </w:tcPr>
          <w:p>
            <w:r>
              <w:t>---</w:t>
            </w:r>
          </w:p>
        </w:tc>
        <w:tc>
          <w:tcPr>
            <w:tcW w:type="dxa" w:w="1440"/>
          </w:tcPr>
          <w:p>
            <w:r>
              <w:t>---</w:t>
            </w:r>
          </w:p>
        </w:tc>
        <w:tc>
          <w:tcPr>
            <w:tcW w:type="dxa" w:w="1440"/>
          </w:tcPr>
          <w:p>
            <w:r>
              <w:t>---</w:t>
            </w:r>
          </w:p>
        </w:tc>
        <w:tc>
          <w:tcPr>
            <w:tcW w:type="dxa" w:w="1440"/>
          </w:tcPr>
          <w:p>
            <w:r>
              <w:t>---</w:t>
            </w:r>
          </w:p>
        </w:tc>
        <w:tc>
          <w:tcPr>
            <w:tcW w:type="dxa" w:w="1440"/>
          </w:tcPr>
          <w:p>
            <w:r>
              <w:t>---</w:t>
            </w:r>
          </w:p>
        </w:tc>
        <w:tc>
          <w:tcPr>
            <w:tcW w:type="dxa" w:w="1440"/>
          </w:tcPr>
          <w:p>
            <w:r>
              <w:t>---</w:t>
            </w:r>
          </w:p>
        </w:tc>
      </w:tr>
      <w:tr>
        <w:tc>
          <w:tcPr>
            <w:tcW w:type="dxa" w:w="1440"/>
          </w:tcPr>
          <w:p>
            <w:r>
              <w:t>G09-01</w:t>
            </w:r>
          </w:p>
        </w:tc>
        <w:tc>
          <w:tcPr>
            <w:tcW w:type="dxa" w:w="1440"/>
          </w:tcPr>
          <w:p>
            <w:r>
              <w:t>工程项目必须满足燃气工程安全底线</w:t>
            </w:r>
          </w:p>
        </w:tc>
        <w:tc>
          <w:tcPr>
            <w:tcW w:type="dxa" w:w="1440"/>
          </w:tcPr>
          <w:p>
            <w:r>
              <w:t>A</w:t>
            </w:r>
          </w:p>
        </w:tc>
        <w:tc>
          <w:tcPr>
            <w:tcW w:type="dxa" w:w="1440"/>
          </w:tcPr>
          <w:p>
            <w:r>
              <w:t>设计审查、扩建改造、迎检总问答</w:t>
            </w:r>
          </w:p>
        </w:tc>
        <w:tc>
          <w:tcPr>
            <w:tcW w:type="dxa" w:w="1440"/>
          </w:tcPr>
          <w:p>
            <w:r>
              <w:t>先用“工程项目强制性底线”来统领站场、储罐、充装、用户供气环节</w:t>
            </w:r>
          </w:p>
        </w:tc>
        <w:tc>
          <w:tcPr>
            <w:tcW w:type="dxa" w:w="1440"/>
          </w:tcPr>
          <w:p>
            <w:r>
              <w:t>回查总则和基本规定部分，明确强制性表达方式</w:t>
            </w:r>
          </w:p>
        </w:tc>
      </w:tr>
      <w:tr>
        <w:tc>
          <w:tcPr>
            <w:tcW w:type="dxa" w:w="1440"/>
          </w:tcPr>
          <w:p>
            <w:r>
              <w:t>G09-02</w:t>
            </w:r>
          </w:p>
        </w:tc>
        <w:tc>
          <w:tcPr>
            <w:tcW w:type="dxa" w:w="1440"/>
          </w:tcPr>
          <w:p>
            <w:r>
              <w:t>站址、总平面与功能分区</w:t>
            </w:r>
          </w:p>
        </w:tc>
        <w:tc>
          <w:tcPr>
            <w:tcW w:type="dxa" w:w="1440"/>
          </w:tcPr>
          <w:p>
            <w:r>
              <w:t>A</w:t>
            </w:r>
          </w:p>
        </w:tc>
        <w:tc>
          <w:tcPr>
            <w:tcW w:type="dxa" w:w="1440"/>
          </w:tcPr>
          <w:p>
            <w:r>
              <w:t>站址论证、总图复核、整改复盘</w:t>
            </w:r>
          </w:p>
        </w:tc>
        <w:tc>
          <w:tcPr>
            <w:tcW w:type="dxa" w:w="1440"/>
          </w:tcPr>
          <w:p>
            <w:r>
              <w:t>与 `GB 51142-2015` 联用，重点看站外关系、生产区和辅助区分开、出入口和消防通道</w:t>
            </w:r>
          </w:p>
        </w:tc>
        <w:tc>
          <w:tcPr>
            <w:tcW w:type="dxa" w:w="1440"/>
          </w:tcPr>
          <w:p>
            <w:r>
              <w:t>回查涉及厂站布置、总平面、站区边界的条文</w:t>
            </w:r>
          </w:p>
        </w:tc>
      </w:tr>
      <w:tr>
        <w:tc>
          <w:tcPr>
            <w:tcW w:type="dxa" w:w="1440"/>
          </w:tcPr>
          <w:p>
            <w:r>
              <w:t>G09-03</w:t>
            </w:r>
          </w:p>
        </w:tc>
        <w:tc>
          <w:tcPr>
            <w:tcW w:type="dxa" w:w="1440"/>
          </w:tcPr>
          <w:p>
            <w:r>
              <w:t>储罐区、装卸区、灌装区的安全控制</w:t>
            </w:r>
          </w:p>
        </w:tc>
        <w:tc>
          <w:tcPr>
            <w:tcW w:type="dxa" w:w="1440"/>
          </w:tcPr>
          <w:p>
            <w:r>
              <w:t>A</w:t>
            </w:r>
          </w:p>
        </w:tc>
        <w:tc>
          <w:tcPr>
            <w:tcW w:type="dxa" w:w="1440"/>
          </w:tcPr>
          <w:p>
            <w:r>
              <w:t>储配站、灌装站、充装站现场检查</w:t>
            </w:r>
          </w:p>
        </w:tc>
        <w:tc>
          <w:tcPr>
            <w:tcW w:type="dxa" w:w="1440"/>
          </w:tcPr>
          <w:p>
            <w:r>
              <w:t>重点查设备布置、作业隔离、泄漏监测、报警联动、作业秩序</w:t>
            </w:r>
          </w:p>
        </w:tc>
        <w:tc>
          <w:tcPr>
            <w:tcW w:type="dxa" w:w="1440"/>
          </w:tcPr>
          <w:p>
            <w:r>
              <w:t>回查储存、装卸、灌装相关章节</w:t>
            </w:r>
          </w:p>
        </w:tc>
      </w:tr>
      <w:tr>
        <w:tc>
          <w:tcPr>
            <w:tcW w:type="dxa" w:w="1440"/>
          </w:tcPr>
          <w:p>
            <w:r>
              <w:t>G09-04</w:t>
            </w:r>
          </w:p>
        </w:tc>
        <w:tc>
          <w:tcPr>
            <w:tcW w:type="dxa" w:w="1440"/>
          </w:tcPr>
          <w:p>
            <w:r>
              <w:t>可燃气体监测报警与联动控制</w:t>
            </w:r>
          </w:p>
        </w:tc>
        <w:tc>
          <w:tcPr>
            <w:tcW w:type="dxa" w:w="1440"/>
          </w:tcPr>
          <w:p>
            <w:r>
              <w:t>A</w:t>
            </w:r>
          </w:p>
        </w:tc>
        <w:tc>
          <w:tcPr>
            <w:tcW w:type="dxa" w:w="1440"/>
          </w:tcPr>
          <w:p>
            <w:r>
              <w:t>报警系统失效、布点不足、联动缺失</w:t>
            </w:r>
          </w:p>
        </w:tc>
        <w:tc>
          <w:tcPr>
            <w:tcW w:type="dxa" w:w="1440"/>
          </w:tcPr>
          <w:p>
            <w:r>
              <w:t>与广西餐饮用户报警切断要求、`CJJ/T 146` 待补层一起使用</w:t>
            </w:r>
          </w:p>
        </w:tc>
        <w:tc>
          <w:tcPr>
            <w:tcW w:type="dxa" w:w="1440"/>
          </w:tcPr>
          <w:p>
            <w:r>
              <w:t>回查报警、联锁、监测控制相关条文</w:t>
            </w:r>
          </w:p>
        </w:tc>
      </w:tr>
      <w:tr>
        <w:tc>
          <w:tcPr>
            <w:tcW w:type="dxa" w:w="1440"/>
          </w:tcPr>
          <w:p>
            <w:r>
              <w:t>G09-05</w:t>
            </w:r>
          </w:p>
        </w:tc>
        <w:tc>
          <w:tcPr>
            <w:tcW w:type="dxa" w:w="1440"/>
          </w:tcPr>
          <w:p>
            <w:r>
              <w:t>运行维护、巡检、保养和记录</w:t>
            </w:r>
          </w:p>
        </w:tc>
        <w:tc>
          <w:tcPr>
            <w:tcW w:type="dxa" w:w="1440"/>
          </w:tcPr>
          <w:p>
            <w:r>
              <w:t>A</w:t>
            </w:r>
          </w:p>
        </w:tc>
        <w:tc>
          <w:tcPr>
            <w:tcW w:type="dxa" w:w="1440"/>
          </w:tcPr>
          <w:p>
            <w:r>
              <w:t>日常检查、管理制度、迎检资料</w:t>
            </w:r>
          </w:p>
        </w:tc>
        <w:tc>
          <w:tcPr>
            <w:tcW w:type="dxa" w:w="1440"/>
          </w:tcPr>
          <w:p>
            <w:r>
              <w:t>先固化为“有制度、有执行、有记录、有复查”的检查逻辑</w:t>
            </w:r>
          </w:p>
        </w:tc>
        <w:tc>
          <w:tcPr>
            <w:tcW w:type="dxa" w:w="1440"/>
          </w:tcPr>
          <w:p>
            <w:r>
              <w:t>回查运行维护章节，核清巡检、保养、记录、缺陷处置要求</w:t>
            </w:r>
          </w:p>
        </w:tc>
      </w:tr>
      <w:tr>
        <w:tc>
          <w:tcPr>
            <w:tcW w:type="dxa" w:w="1440"/>
          </w:tcPr>
          <w:p>
            <w:r>
              <w:t>G09-06</w:t>
            </w:r>
          </w:p>
        </w:tc>
        <w:tc>
          <w:tcPr>
            <w:tcW w:type="dxa" w:w="1440"/>
          </w:tcPr>
          <w:p>
            <w:r>
              <w:t>检维修、动火、受限空间等特殊作业控制</w:t>
            </w:r>
          </w:p>
        </w:tc>
        <w:tc>
          <w:tcPr>
            <w:tcW w:type="dxa" w:w="1440"/>
          </w:tcPr>
          <w:p>
            <w:r>
              <w:t>A</w:t>
            </w:r>
          </w:p>
        </w:tc>
        <w:tc>
          <w:tcPr>
            <w:tcW w:type="dxa" w:w="1440"/>
          </w:tcPr>
          <w:p>
            <w:r>
              <w:t>特殊作业票证、施工改造、外委作业</w:t>
            </w:r>
          </w:p>
        </w:tc>
        <w:tc>
          <w:tcPr>
            <w:tcW w:type="dxa" w:w="1440"/>
          </w:tcPr>
          <w:p>
            <w:r>
              <w:t>与安全生产法、企业特殊作业制度联用</w:t>
            </w:r>
          </w:p>
        </w:tc>
        <w:tc>
          <w:tcPr>
            <w:tcW w:type="dxa" w:w="1440"/>
          </w:tcPr>
          <w:p>
            <w:r>
              <w:t>回查运行安全和作业管理要求</w:t>
            </w:r>
          </w:p>
        </w:tc>
      </w:tr>
      <w:tr>
        <w:tc>
          <w:tcPr>
            <w:tcW w:type="dxa" w:w="1440"/>
          </w:tcPr>
          <w:p>
            <w:r>
              <w:t>G09-07</w:t>
            </w:r>
          </w:p>
        </w:tc>
        <w:tc>
          <w:tcPr>
            <w:tcW w:type="dxa" w:w="1440"/>
          </w:tcPr>
          <w:p>
            <w:r>
              <w:t>应急准备、事故处置和停复供控制</w:t>
            </w:r>
          </w:p>
        </w:tc>
        <w:tc>
          <w:tcPr>
            <w:tcW w:type="dxa" w:w="1440"/>
          </w:tcPr>
          <w:p>
            <w:r>
              <w:t>A</w:t>
            </w:r>
          </w:p>
        </w:tc>
        <w:tc>
          <w:tcPr>
            <w:tcW w:type="dxa" w:w="1440"/>
          </w:tcPr>
          <w:p>
            <w:r>
              <w:t>应急预案、演练、事故复盘</w:t>
            </w:r>
          </w:p>
        </w:tc>
        <w:tc>
          <w:tcPr>
            <w:tcW w:type="dxa" w:w="1440"/>
          </w:tcPr>
          <w:p>
            <w:r>
              <w:t>与《生产安全事故应急条例》、`GB/T 29639-2020` 联用</w:t>
            </w:r>
          </w:p>
        </w:tc>
        <w:tc>
          <w:tcPr>
            <w:tcW w:type="dxa" w:w="1440"/>
          </w:tcPr>
          <w:p>
            <w:r>
              <w:t>回查事故处置、紧急切断、应急组织条文</w:t>
            </w:r>
          </w:p>
        </w:tc>
      </w:tr>
      <w:tr>
        <w:tc>
          <w:tcPr>
            <w:tcW w:type="dxa" w:w="1440"/>
          </w:tcPr>
          <w:p>
            <w:r>
              <w:t>G09-08</w:t>
            </w:r>
          </w:p>
        </w:tc>
        <w:tc>
          <w:tcPr>
            <w:tcW w:type="dxa" w:w="1440"/>
          </w:tcPr>
          <w:p>
            <w:r>
              <w:t>瓶装供应、储瓶、实空瓶分区与防护</w:t>
            </w:r>
          </w:p>
        </w:tc>
        <w:tc>
          <w:tcPr>
            <w:tcW w:type="dxa" w:w="1440"/>
          </w:tcPr>
          <w:p>
            <w:r>
              <w:t>A</w:t>
            </w:r>
          </w:p>
        </w:tc>
        <w:tc>
          <w:tcPr>
            <w:tcW w:type="dxa" w:w="1440"/>
          </w:tcPr>
          <w:p>
            <w:r>
              <w:t>瓶库管理、瓶装供应站、配送准备区</w:t>
            </w:r>
          </w:p>
        </w:tc>
        <w:tc>
          <w:tcPr>
            <w:tcW w:type="dxa" w:w="1440"/>
          </w:tcPr>
          <w:p>
            <w:r>
              <w:t>先按 `GB 51142-2015`、广西条例、重大隐患标准执行，条文卡片作为补强骨架</w:t>
            </w:r>
          </w:p>
        </w:tc>
        <w:tc>
          <w:tcPr>
            <w:tcW w:type="dxa" w:w="1440"/>
          </w:tcPr>
          <w:p>
            <w:r>
              <w:t>回查瓶装供应和储瓶管理部分</w:t>
            </w:r>
          </w:p>
        </w:tc>
      </w:tr>
      <w:tr>
        <w:tc>
          <w:tcPr>
            <w:tcW w:type="dxa" w:w="1440"/>
          </w:tcPr>
          <w:p>
            <w:r>
              <w:t>G09-09</w:t>
            </w:r>
          </w:p>
        </w:tc>
        <w:tc>
          <w:tcPr>
            <w:tcW w:type="dxa" w:w="1440"/>
          </w:tcPr>
          <w:p>
            <w:r>
              <w:t>用户供气装置、连接部件和安全告知</w:t>
            </w:r>
          </w:p>
        </w:tc>
        <w:tc>
          <w:tcPr>
            <w:tcW w:type="dxa" w:w="1440"/>
          </w:tcPr>
          <w:p>
            <w:r>
              <w:t>B</w:t>
            </w:r>
          </w:p>
        </w:tc>
        <w:tc>
          <w:tcPr>
            <w:tcW w:type="dxa" w:w="1440"/>
          </w:tcPr>
          <w:p>
            <w:r>
              <w:t>入户安检、用户整改、终端服务</w:t>
            </w:r>
          </w:p>
        </w:tc>
        <w:tc>
          <w:tcPr>
            <w:tcW w:type="dxa" w:w="1440"/>
          </w:tcPr>
          <w:p>
            <w:r>
              <w:t>本轮先按广西条例、专项整治要求和企业制度落地</w:t>
            </w:r>
          </w:p>
        </w:tc>
        <w:tc>
          <w:tcPr>
            <w:tcW w:type="dxa" w:w="1440"/>
          </w:tcPr>
          <w:p>
            <w:r>
              <w:t>回查用户端、户内设施、供气装置相关条文</w:t>
            </w:r>
          </w:p>
        </w:tc>
      </w:tr>
      <w:tr>
        <w:tc>
          <w:tcPr>
            <w:tcW w:type="dxa" w:w="1440"/>
          </w:tcPr>
          <w:p>
            <w:r>
              <w:t>G09-10</w:t>
            </w:r>
          </w:p>
        </w:tc>
        <w:tc>
          <w:tcPr>
            <w:tcW w:type="dxa" w:w="1440"/>
          </w:tcPr>
          <w:p>
            <w:r>
              <w:t>档案资料、技术文件和全生命周期管理</w:t>
            </w:r>
          </w:p>
        </w:tc>
        <w:tc>
          <w:tcPr>
            <w:tcW w:type="dxa" w:w="1440"/>
          </w:tcPr>
          <w:p>
            <w:r>
              <w:t>A</w:t>
            </w:r>
          </w:p>
        </w:tc>
        <w:tc>
          <w:tcPr>
            <w:tcW w:type="dxa" w:w="1440"/>
          </w:tcPr>
          <w:p>
            <w:r>
              <w:t>迎检资料、档案抽查、制度建设</w:t>
            </w:r>
          </w:p>
        </w:tc>
        <w:tc>
          <w:tcPr>
            <w:tcW w:type="dxa" w:w="1440"/>
          </w:tcPr>
          <w:p>
            <w:r>
              <w:t>形成“图纸-台账-检验-培训-演练-整改”五本账</w:t>
            </w:r>
          </w:p>
        </w:tc>
        <w:tc>
          <w:tcPr>
            <w:tcW w:type="dxa" w:w="1440"/>
          </w:tcPr>
          <w:p>
            <w:r>
              <w:t>回查档案和管理要求条文</w:t>
            </w:r>
          </w:p>
        </w:tc>
      </w:tr>
    </w:tbl>
    <w:p>
      <w:pPr>
        <w:pStyle w:val="Heading2"/>
      </w:pPr>
      <w:r>
        <w:t>三、GB 55037-2022 高优先级卡片骨架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rPr>
                <w:b/>
              </w:rPr>
              <w:t>编号</w:t>
            </w:r>
          </w:p>
        </w:tc>
        <w:tc>
          <w:tcPr>
            <w:tcW w:type="dxa" w:w="1440"/>
          </w:tcPr>
          <w:p>
            <w:r>
              <w:rPr>
                <w:b/>
              </w:rPr>
              <w:t>主题</w:t>
            </w:r>
          </w:p>
        </w:tc>
        <w:tc>
          <w:tcPr>
            <w:tcW w:type="dxa" w:w="1440"/>
          </w:tcPr>
          <w:p>
            <w:r>
              <w:rPr>
                <w:b/>
              </w:rPr>
              <w:t>核校状态</w:t>
            </w:r>
          </w:p>
        </w:tc>
        <w:tc>
          <w:tcPr>
            <w:tcW w:type="dxa" w:w="1440"/>
          </w:tcPr>
          <w:p>
            <w:r>
              <w:rPr>
                <w:b/>
              </w:rPr>
              <w:t>典型使用场景</w:t>
            </w:r>
          </w:p>
        </w:tc>
        <w:tc>
          <w:tcPr>
            <w:tcW w:type="dxa" w:w="1440"/>
          </w:tcPr>
          <w:p>
            <w:r>
              <w:rPr>
                <w:b/>
              </w:rPr>
              <w:t>本轮先落地的检查语言</w:t>
            </w:r>
          </w:p>
        </w:tc>
        <w:tc>
          <w:tcPr>
            <w:tcW w:type="dxa" w:w="1440"/>
          </w:tcPr>
          <w:p>
            <w:r>
              <w:rPr>
                <w:b/>
              </w:rPr>
              <w:t>后续回原文重点</w:t>
            </w:r>
          </w:p>
        </w:tc>
      </w:tr>
      <w:tr>
        <w:tc>
          <w:tcPr>
            <w:tcW w:type="dxa" w:w="1440"/>
          </w:tcPr>
          <w:p>
            <w:r>
              <w:t>---</w:t>
            </w:r>
          </w:p>
        </w:tc>
        <w:tc>
          <w:tcPr>
            <w:tcW w:type="dxa" w:w="1440"/>
          </w:tcPr>
          <w:p>
            <w:r>
              <w:t>---</w:t>
            </w:r>
          </w:p>
        </w:tc>
        <w:tc>
          <w:tcPr>
            <w:tcW w:type="dxa" w:w="1440"/>
          </w:tcPr>
          <w:p>
            <w:r>
              <w:t>---</w:t>
            </w:r>
          </w:p>
        </w:tc>
        <w:tc>
          <w:tcPr>
            <w:tcW w:type="dxa" w:w="1440"/>
          </w:tcPr>
          <w:p>
            <w:r>
              <w:t>---</w:t>
            </w:r>
          </w:p>
        </w:tc>
        <w:tc>
          <w:tcPr>
            <w:tcW w:type="dxa" w:w="1440"/>
          </w:tcPr>
          <w:p>
            <w:r>
              <w:t>---</w:t>
            </w:r>
          </w:p>
        </w:tc>
        <w:tc>
          <w:tcPr>
            <w:tcW w:type="dxa" w:w="1440"/>
          </w:tcPr>
          <w:p>
            <w:r>
              <w:t>---</w:t>
            </w:r>
          </w:p>
        </w:tc>
      </w:tr>
      <w:tr>
        <w:tc>
          <w:tcPr>
            <w:tcW w:type="dxa" w:w="1440"/>
          </w:tcPr>
          <w:p>
            <w:r>
              <w:t>G37-01</w:t>
            </w:r>
          </w:p>
        </w:tc>
        <w:tc>
          <w:tcPr>
            <w:tcW w:type="dxa" w:w="1440"/>
          </w:tcPr>
          <w:p>
            <w:r>
              <w:t>爆炸危险场所不得突破建筑防火底线</w:t>
            </w:r>
          </w:p>
        </w:tc>
        <w:tc>
          <w:tcPr>
            <w:tcW w:type="dxa" w:w="1440"/>
          </w:tcPr>
          <w:p>
            <w:r>
              <w:t>A</w:t>
            </w:r>
          </w:p>
        </w:tc>
        <w:tc>
          <w:tcPr>
            <w:tcW w:type="dxa" w:w="1440"/>
          </w:tcPr>
          <w:p>
            <w:r>
              <w:t>新改扩建审查、老站整治</w:t>
            </w:r>
          </w:p>
        </w:tc>
        <w:tc>
          <w:tcPr>
            <w:tcW w:type="dxa" w:w="1440"/>
          </w:tcPr>
          <w:p>
            <w:r>
              <w:t>先按“防火、防爆、分隔、泄压、疏散”五个关键词组织审查</w:t>
            </w:r>
          </w:p>
        </w:tc>
        <w:tc>
          <w:tcPr>
            <w:tcW w:type="dxa" w:w="1440"/>
          </w:tcPr>
          <w:p>
            <w:r>
              <w:t>回查总则和爆炸危险场所通用要求</w:t>
            </w:r>
          </w:p>
        </w:tc>
      </w:tr>
      <w:tr>
        <w:tc>
          <w:tcPr>
            <w:tcW w:type="dxa" w:w="1440"/>
          </w:tcPr>
          <w:p>
            <w:r>
              <w:t>G37-02</w:t>
            </w:r>
          </w:p>
        </w:tc>
        <w:tc>
          <w:tcPr>
            <w:tcW w:type="dxa" w:w="1440"/>
          </w:tcPr>
          <w:p>
            <w:r>
              <w:t>建筑耐火等级与防火分隔</w:t>
            </w:r>
          </w:p>
        </w:tc>
        <w:tc>
          <w:tcPr>
            <w:tcW w:type="dxa" w:w="1440"/>
          </w:tcPr>
          <w:p>
            <w:r>
              <w:t>A</w:t>
            </w:r>
          </w:p>
        </w:tc>
        <w:tc>
          <w:tcPr>
            <w:tcW w:type="dxa" w:w="1440"/>
          </w:tcPr>
          <w:p>
            <w:r>
              <w:t>站房、瓶库、辅助用房整改</w:t>
            </w:r>
          </w:p>
        </w:tc>
        <w:tc>
          <w:tcPr>
            <w:tcW w:type="dxa" w:w="1440"/>
          </w:tcPr>
          <w:p>
            <w:r>
              <w:t>与 `GB 50016`、`GB 51142` 联用，先判断建筑属性和分隔有效性</w:t>
            </w:r>
          </w:p>
        </w:tc>
        <w:tc>
          <w:tcPr>
            <w:tcW w:type="dxa" w:w="1440"/>
          </w:tcPr>
          <w:p>
            <w:r>
              <w:t>回查耐火等级、防火墙、防火分区条文</w:t>
            </w:r>
          </w:p>
        </w:tc>
      </w:tr>
      <w:tr>
        <w:tc>
          <w:tcPr>
            <w:tcW w:type="dxa" w:w="1440"/>
          </w:tcPr>
          <w:p>
            <w:r>
              <w:t>G37-03</w:t>
            </w:r>
          </w:p>
        </w:tc>
        <w:tc>
          <w:tcPr>
            <w:tcW w:type="dxa" w:w="1440"/>
          </w:tcPr>
          <w:p>
            <w:r>
              <w:t>安全出口、疏散门和疏散路径</w:t>
            </w:r>
          </w:p>
        </w:tc>
        <w:tc>
          <w:tcPr>
            <w:tcW w:type="dxa" w:w="1440"/>
          </w:tcPr>
          <w:p>
            <w:r>
              <w:t>A</w:t>
            </w:r>
          </w:p>
        </w:tc>
        <w:tc>
          <w:tcPr>
            <w:tcW w:type="dxa" w:w="1440"/>
          </w:tcPr>
          <w:p>
            <w:r>
              <w:t>现场通道堵塞、改造占道、值班室布置</w:t>
            </w:r>
          </w:p>
        </w:tc>
        <w:tc>
          <w:tcPr>
            <w:tcW w:type="dxa" w:w="1440"/>
          </w:tcPr>
          <w:p>
            <w:r>
              <w:t>形成“出口数量、开启方向、通道畅通、疏散指引”检查语言</w:t>
            </w:r>
          </w:p>
        </w:tc>
        <w:tc>
          <w:tcPr>
            <w:tcW w:type="dxa" w:w="1440"/>
          </w:tcPr>
          <w:p>
            <w:r>
              <w:t>回查疏散设计通用要求</w:t>
            </w:r>
          </w:p>
        </w:tc>
      </w:tr>
      <w:tr>
        <w:tc>
          <w:tcPr>
            <w:tcW w:type="dxa" w:w="1440"/>
          </w:tcPr>
          <w:p>
            <w:r>
              <w:t>G37-04</w:t>
            </w:r>
          </w:p>
        </w:tc>
        <w:tc>
          <w:tcPr>
            <w:tcW w:type="dxa" w:w="1440"/>
          </w:tcPr>
          <w:p>
            <w:r>
              <w:t>通风、防爆与泄压措施</w:t>
            </w:r>
          </w:p>
        </w:tc>
        <w:tc>
          <w:tcPr>
            <w:tcW w:type="dxa" w:w="1440"/>
          </w:tcPr>
          <w:p>
            <w:r>
              <w:t>A</w:t>
            </w:r>
          </w:p>
        </w:tc>
        <w:tc>
          <w:tcPr>
            <w:tcW w:type="dxa" w:w="1440"/>
          </w:tcPr>
          <w:p>
            <w:r>
              <w:t>半地下、封闭式、通风不良场所</w:t>
            </w:r>
          </w:p>
        </w:tc>
        <w:tc>
          <w:tcPr>
            <w:tcW w:type="dxa" w:w="1440"/>
          </w:tcPr>
          <w:p>
            <w:r>
              <w:t>对易积聚可燃气体空间重点检查自然通风、机械通风、泄压条件</w:t>
            </w:r>
          </w:p>
        </w:tc>
        <w:tc>
          <w:tcPr>
            <w:tcW w:type="dxa" w:w="1440"/>
          </w:tcPr>
          <w:p>
            <w:r>
              <w:t>回查通风、防爆、泄压构造要求</w:t>
            </w:r>
          </w:p>
        </w:tc>
      </w:tr>
      <w:tr>
        <w:tc>
          <w:tcPr>
            <w:tcW w:type="dxa" w:w="1440"/>
          </w:tcPr>
          <w:p>
            <w:r>
              <w:t>G37-05</w:t>
            </w:r>
          </w:p>
        </w:tc>
        <w:tc>
          <w:tcPr>
            <w:tcW w:type="dxa" w:w="1440"/>
          </w:tcPr>
          <w:p>
            <w:r>
              <w:t>消防设施配置和可达性</w:t>
            </w:r>
          </w:p>
        </w:tc>
        <w:tc>
          <w:tcPr>
            <w:tcW w:type="dxa" w:w="1440"/>
          </w:tcPr>
          <w:p>
            <w:r>
              <w:t>A</w:t>
            </w:r>
          </w:p>
        </w:tc>
        <w:tc>
          <w:tcPr>
            <w:tcW w:type="dxa" w:w="1440"/>
          </w:tcPr>
          <w:p>
            <w:r>
              <w:t>灭火器、消防水源、消防通道</w:t>
            </w:r>
          </w:p>
        </w:tc>
        <w:tc>
          <w:tcPr>
            <w:tcW w:type="dxa" w:w="1440"/>
          </w:tcPr>
          <w:p>
            <w:r>
              <w:t>先按“是否设置、是否可用、是否可达、是否维护”检查</w:t>
            </w:r>
          </w:p>
        </w:tc>
        <w:tc>
          <w:tcPr>
            <w:tcW w:type="dxa" w:w="1440"/>
          </w:tcPr>
          <w:p>
            <w:r>
              <w:t>回查消防设施和灭火救援条件条文</w:t>
            </w:r>
          </w:p>
        </w:tc>
      </w:tr>
      <w:tr>
        <w:tc>
          <w:tcPr>
            <w:tcW w:type="dxa" w:w="1440"/>
          </w:tcPr>
          <w:p>
            <w:r>
              <w:t>G37-06</w:t>
            </w:r>
          </w:p>
        </w:tc>
        <w:tc>
          <w:tcPr>
            <w:tcW w:type="dxa" w:w="1440"/>
          </w:tcPr>
          <w:p>
            <w:r>
              <w:t>防雷、防静电和点火源控制</w:t>
            </w:r>
          </w:p>
        </w:tc>
        <w:tc>
          <w:tcPr>
            <w:tcW w:type="dxa" w:w="1440"/>
          </w:tcPr>
          <w:p>
            <w:r>
              <w:t>A</w:t>
            </w:r>
          </w:p>
        </w:tc>
        <w:tc>
          <w:tcPr>
            <w:tcW w:type="dxa" w:w="1440"/>
          </w:tcPr>
          <w:p>
            <w:r>
              <w:t>装卸、灌装、储罐区、瓶库</w:t>
            </w:r>
          </w:p>
        </w:tc>
        <w:tc>
          <w:tcPr>
            <w:tcW w:type="dxa" w:w="1440"/>
          </w:tcPr>
          <w:p>
            <w:r>
              <w:t>与现有站场管理制度联用，先查接地、跨接、禁火、检验记录</w:t>
            </w:r>
          </w:p>
        </w:tc>
        <w:tc>
          <w:tcPr>
            <w:tcW w:type="dxa" w:w="1440"/>
          </w:tcPr>
          <w:p>
            <w:r>
              <w:t>回查防雷、防静电、火源控制要求</w:t>
            </w:r>
          </w:p>
        </w:tc>
      </w:tr>
      <w:tr>
        <w:tc>
          <w:tcPr>
            <w:tcW w:type="dxa" w:w="1440"/>
          </w:tcPr>
          <w:p>
            <w:r>
              <w:t>G37-07</w:t>
            </w:r>
          </w:p>
        </w:tc>
        <w:tc>
          <w:tcPr>
            <w:tcW w:type="dxa" w:w="1440"/>
          </w:tcPr>
          <w:p>
            <w:r>
              <w:t>地下、半地下和附属空间设置限制</w:t>
            </w:r>
          </w:p>
        </w:tc>
        <w:tc>
          <w:tcPr>
            <w:tcW w:type="dxa" w:w="1440"/>
          </w:tcPr>
          <w:p>
            <w:r>
              <w:t>A</w:t>
            </w:r>
          </w:p>
        </w:tc>
        <w:tc>
          <w:tcPr>
            <w:tcW w:type="dxa" w:w="1440"/>
          </w:tcPr>
          <w:p>
            <w:r>
              <w:t>老站改造、加建夹层、地下室利用</w:t>
            </w:r>
          </w:p>
        </w:tc>
        <w:tc>
          <w:tcPr>
            <w:tcW w:type="dxa" w:w="1440"/>
          </w:tcPr>
          <w:p>
            <w:r>
              <w:t>先按“爆炸危险区域不随意做地下封闭空间”开展复核</w:t>
            </w:r>
          </w:p>
        </w:tc>
        <w:tc>
          <w:tcPr>
            <w:tcW w:type="dxa" w:w="1440"/>
          </w:tcPr>
          <w:p>
            <w:r>
              <w:t>回查禁设、限设条文</w:t>
            </w:r>
          </w:p>
        </w:tc>
      </w:tr>
      <w:tr>
        <w:tc>
          <w:tcPr>
            <w:tcW w:type="dxa" w:w="1440"/>
          </w:tcPr>
          <w:p>
            <w:r>
              <w:t>G37-08</w:t>
            </w:r>
          </w:p>
        </w:tc>
        <w:tc>
          <w:tcPr>
            <w:tcW w:type="dxa" w:w="1440"/>
          </w:tcPr>
          <w:p>
            <w:r>
              <w:t>易燃可燃材料和装修控制</w:t>
            </w:r>
          </w:p>
        </w:tc>
        <w:tc>
          <w:tcPr>
            <w:tcW w:type="dxa" w:w="1440"/>
          </w:tcPr>
          <w:p>
            <w:r>
              <w:t>B</w:t>
            </w:r>
          </w:p>
        </w:tc>
        <w:tc>
          <w:tcPr>
            <w:tcW w:type="dxa" w:w="1440"/>
          </w:tcPr>
          <w:p>
            <w:r>
              <w:t>值班室、配电间、辅助房整治</w:t>
            </w:r>
          </w:p>
        </w:tc>
        <w:tc>
          <w:tcPr>
            <w:tcW w:type="dxa" w:w="1440"/>
          </w:tcPr>
          <w:p>
            <w:r>
              <w:t>先作为辅助检查项，不单独定性</w:t>
            </w:r>
          </w:p>
        </w:tc>
        <w:tc>
          <w:tcPr>
            <w:tcW w:type="dxa" w:w="1440"/>
          </w:tcPr>
          <w:p>
            <w:r>
              <w:t>回查装修材料和构造要求</w:t>
            </w:r>
          </w:p>
        </w:tc>
      </w:tr>
    </w:tbl>
    <w:p>
      <w:pPr>
        <w:pStyle w:val="Heading2"/>
      </w:pPr>
      <w:r>
        <w:t>四、与现有知识库的联动方式</w:t>
      </w:r>
    </w:p>
    <w:p>
      <w:pPr>
        <w:pStyle w:val="Heading3"/>
      </w:pPr>
      <w:r>
        <w:t>1. 设计整改场景</w:t>
      </w:r>
    </w:p>
    <w:p>
      <w:pPr>
        <w:pStyle w:val="ListBullet"/>
      </w:pPr>
      <w:r>
        <w:t xml:space="preserve">先看 </w:t>
      </w:r>
      <w:r>
        <w:rPr>
          <w:rFonts w:ascii="Menlo" w:hAnsi="Menlo" w:eastAsia="Menlo"/>
        </w:rPr>
        <w:t>02-GB51142主线笔记.md</w:t>
      </w:r>
    </w:p>
    <w:p>
      <w:pPr>
        <w:pStyle w:val="ListBullet"/>
      </w:pPr>
      <w:r>
        <w:t xml:space="preserve">再用本文件补 </w:t>
      </w:r>
      <w:r>
        <w:rPr>
          <w:rFonts w:ascii="Menlo" w:hAnsi="Menlo" w:eastAsia="Menlo"/>
        </w:rPr>
        <w:t>GB 55009</w:t>
      </w:r>
      <w:r>
        <w:t>、</w:t>
      </w:r>
      <w:r>
        <w:rPr>
          <w:rFonts w:ascii="Menlo" w:hAnsi="Menlo" w:eastAsia="Menlo"/>
        </w:rPr>
        <w:t>GB 55037</w:t>
      </w:r>
      <w:r>
        <w:t xml:space="preserve"> 的强制性底线视角</w:t>
      </w:r>
    </w:p>
    <w:p>
      <w:pPr>
        <w:pStyle w:val="ListBullet"/>
      </w:pPr>
      <w:r>
        <w:t xml:space="preserve">如涉及广西餐饮用户、实名购气、安检义务，再接 </w:t>
      </w:r>
      <w:r>
        <w:rPr>
          <w:rFonts w:ascii="Menlo" w:hAnsi="Menlo" w:eastAsia="Menlo"/>
        </w:rPr>
        <w:t>03-广西地方体系.md</w:t>
      </w:r>
    </w:p>
    <w:p>
      <w:pPr>
        <w:pStyle w:val="Heading3"/>
      </w:pPr>
      <w:r>
        <w:t>2. 现场检查场景</w:t>
      </w:r>
    </w:p>
    <w:p>
      <w:pPr>
        <w:pStyle w:val="ListBullet"/>
      </w:pPr>
      <w:r>
        <w:t xml:space="preserve">先按 </w:t>
      </w:r>
      <w:r>
        <w:rPr>
          <w:rFonts w:ascii="Menlo" w:hAnsi="Menlo" w:eastAsia="Menlo"/>
        </w:rPr>
        <w:t>05-高频场景与检查逻辑.md</w:t>
      </w:r>
      <w:r>
        <w:t xml:space="preserve"> 找场景</w:t>
      </w:r>
    </w:p>
    <w:p>
      <w:pPr>
        <w:pStyle w:val="ListBullet"/>
      </w:pPr>
      <w:r>
        <w:t>再把本文件的卡片编号写进检查表和整改台账</w:t>
      </w:r>
    </w:p>
    <w:p>
      <w:pPr>
        <w:pStyle w:val="ListBullet"/>
      </w:pPr>
      <w:r>
        <w:t>遇到对外发文、处罚、正式定性时，再回原规范原文逐条核校</w:t>
      </w:r>
    </w:p>
    <w:p>
      <w:pPr>
        <w:pStyle w:val="Heading3"/>
      </w:pPr>
      <w:r>
        <w:t>3. 培训授课场景</w:t>
      </w:r>
    </w:p>
    <w:p>
      <w:pPr>
        <w:pStyle w:val="ListBullet"/>
      </w:pPr>
      <w:r>
        <w:rPr>
          <w:rFonts w:ascii="Menlo" w:hAnsi="Menlo" w:eastAsia="Menlo"/>
        </w:rPr>
        <w:t>GB 51142</w:t>
      </w:r>
      <w:r>
        <w:t xml:space="preserve"> 讲“专项工程怎么建”</w:t>
      </w:r>
    </w:p>
    <w:p>
      <w:pPr>
        <w:pStyle w:val="ListBullet"/>
      </w:pPr>
      <w:r>
        <w:rPr>
          <w:rFonts w:ascii="Menlo" w:hAnsi="Menlo" w:eastAsia="Menlo"/>
        </w:rPr>
        <w:t>GB 55009</w:t>
      </w:r>
      <w:r>
        <w:t xml:space="preserve"> 讲“强制性底线怎么守”</w:t>
      </w:r>
    </w:p>
    <w:p>
      <w:pPr>
        <w:pStyle w:val="ListBullet"/>
      </w:pPr>
      <w:r>
        <w:rPr>
          <w:rFonts w:ascii="Menlo" w:hAnsi="Menlo" w:eastAsia="Menlo"/>
        </w:rPr>
        <w:t>GB 55037</w:t>
      </w:r>
      <w:r>
        <w:t xml:space="preserve"> 讲“防火防爆底线怎么破不了”</w:t>
      </w:r>
    </w:p>
    <w:p>
      <w:pPr>
        <w:pStyle w:val="Heading2"/>
      </w:pPr>
      <w:r>
        <w:t>五、下一步最值得优先核校的 8 张卡片</w:t>
      </w:r>
    </w:p>
    <w:p>
      <w:pPr>
        <w:pStyle w:val="ListNumber"/>
      </w:pPr>
      <w:r>
        <w:rPr>
          <w:rFonts w:ascii="Menlo" w:hAnsi="Menlo" w:eastAsia="Menlo"/>
        </w:rPr>
        <w:t>G09-02</w:t>
      </w:r>
      <w:r>
        <w:t xml:space="preserve"> 站址、总平面与功能分区</w:t>
      </w:r>
    </w:p>
    <w:p>
      <w:pPr>
        <w:pStyle w:val="ListNumber"/>
      </w:pPr>
      <w:r>
        <w:rPr>
          <w:rFonts w:ascii="Menlo" w:hAnsi="Menlo" w:eastAsia="Menlo"/>
        </w:rPr>
        <w:t>G09-04</w:t>
      </w:r>
      <w:r>
        <w:t xml:space="preserve"> 可燃气体监测报警与联动控制</w:t>
      </w:r>
    </w:p>
    <w:p>
      <w:pPr>
        <w:pStyle w:val="ListNumber"/>
      </w:pPr>
      <w:r>
        <w:rPr>
          <w:rFonts w:ascii="Menlo" w:hAnsi="Menlo" w:eastAsia="Menlo"/>
        </w:rPr>
        <w:t>G09-05</w:t>
      </w:r>
      <w:r>
        <w:t xml:space="preserve"> 运行维护、巡检、保养和记录</w:t>
      </w:r>
    </w:p>
    <w:p>
      <w:pPr>
        <w:pStyle w:val="ListNumber"/>
      </w:pPr>
      <w:r>
        <w:rPr>
          <w:rFonts w:ascii="Menlo" w:hAnsi="Menlo" w:eastAsia="Menlo"/>
        </w:rPr>
        <w:t>G09-09</w:t>
      </w:r>
      <w:r>
        <w:t xml:space="preserve"> 用户供气装置、连接部件和安全告知</w:t>
      </w:r>
    </w:p>
    <w:p>
      <w:pPr>
        <w:pStyle w:val="ListNumber"/>
      </w:pPr>
      <w:r>
        <w:rPr>
          <w:rFonts w:ascii="Menlo" w:hAnsi="Menlo" w:eastAsia="Menlo"/>
        </w:rPr>
        <w:t>G37-02</w:t>
      </w:r>
      <w:r>
        <w:t xml:space="preserve"> 建筑耐火等级与防火分隔</w:t>
      </w:r>
    </w:p>
    <w:p>
      <w:pPr>
        <w:pStyle w:val="ListNumber"/>
      </w:pPr>
      <w:r>
        <w:rPr>
          <w:rFonts w:ascii="Menlo" w:hAnsi="Menlo" w:eastAsia="Menlo"/>
        </w:rPr>
        <w:t>G37-03</w:t>
      </w:r>
      <w:r>
        <w:t xml:space="preserve"> 安全出口、疏散门和疏散路径</w:t>
      </w:r>
    </w:p>
    <w:p>
      <w:pPr>
        <w:pStyle w:val="ListNumber"/>
      </w:pPr>
      <w:r>
        <w:rPr>
          <w:rFonts w:ascii="Menlo" w:hAnsi="Menlo" w:eastAsia="Menlo"/>
        </w:rPr>
        <w:t>G37-04</w:t>
      </w:r>
      <w:r>
        <w:t xml:space="preserve"> 通风、防爆与泄压措施</w:t>
      </w:r>
    </w:p>
    <w:p>
      <w:pPr>
        <w:pStyle w:val="ListNumber"/>
      </w:pPr>
      <w:r>
        <w:rPr>
          <w:rFonts w:ascii="Menlo" w:hAnsi="Menlo" w:eastAsia="Menlo"/>
        </w:rPr>
        <w:t>G37-06</w:t>
      </w:r>
      <w:r>
        <w:t xml:space="preserve"> 防雷、防静电和点火源控制</w:t>
      </w:r>
    </w:p>
    <w:p>
      <w:pPr>
        <w:pStyle w:val="Heading2"/>
      </w:pPr>
      <w:r>
        <w:t>六、待接入的补强规范</w:t>
      </w:r>
    </w:p>
    <w:p>
      <w:pPr>
        <w:pStyle w:val="ListBullet"/>
      </w:pPr>
      <w:r>
        <w:rPr>
          <w:rFonts w:ascii="Menlo" w:hAnsi="Menlo" w:eastAsia="Menlo"/>
        </w:rPr>
        <w:t>CJJ/T 146</w:t>
      </w:r>
      <w:r>
        <w:t>《城镇燃气报警控制系统技术规程》</w:t>
      </w:r>
    </w:p>
    <w:p>
      <w:pPr>
        <w:pStyle w:val="ListBullet"/>
      </w:pPr>
      <w:r>
        <w:t xml:space="preserve">瓶装供应站独立标准编号待核正，当前先以 </w:t>
      </w:r>
      <w:r>
        <w:rPr>
          <w:rFonts w:ascii="Menlo" w:hAnsi="Menlo" w:eastAsia="Menlo"/>
        </w:rPr>
        <w:t>GB 51142-2015</w:t>
      </w:r>
      <w:r>
        <w:t xml:space="preserve"> 第 8 章和地方治理要求承接</w:t>
      </w:r>
    </w:p>
    <w:p>
      <w:pPr>
        <w:pStyle w:val="ListBullet"/>
      </w:pPr>
      <w:r>
        <w:t>用户端器具、连接管、减压阀、瓶阀等标准</w:t>
      </w:r>
    </w:p>
    <w:p>
      <w:r>
        <w:t>等这几层补齐后，本文件可以继续升级成：</w:t>
      </w:r>
    </w:p>
    <w:p>
      <w:r>
        <w:rPr>
          <w:rFonts w:ascii="Menlo" w:hAnsi="Menlo" w:eastAsia="Menlo"/>
        </w:rPr>
        <w:t>条文卡片骨架 -&gt; 条文核校卡片 -&gt; 制度/检查/培训直接引用卡片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 w:eastAsia="Microsoft YaHe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