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13-用户侧与瓶装服务补充</w:t>
      </w:r>
    </w:p>
    <w:p>
      <w:r/>
    </w:p>
    <w:p>
      <w:pPr>
        <w:pStyle w:val="Heading1"/>
      </w:pPr>
      <w:r>
        <w:t>用户侧与瓶装服务补充</w:t>
      </w:r>
    </w:p>
    <w:p>
      <w:r>
        <w:t>这一层是当前知识库最需要补强的部分之一。</w:t>
      </w:r>
    </w:p>
    <w:p>
      <w:r>
        <w:t>因为液化石油气行业的大量事故和执法问题，并不发生在储罐区，而是发生在：</w:t>
      </w:r>
    </w:p>
    <w:p>
      <w:pPr>
        <w:pStyle w:val="ListBullet"/>
      </w:pPr>
      <w:r>
        <w:t>瓶装供应站</w:t>
      </w:r>
    </w:p>
    <w:p>
      <w:pPr>
        <w:pStyle w:val="ListBullet"/>
      </w:pPr>
      <w:r>
        <w:t>配送环节</w:t>
      </w:r>
    </w:p>
    <w:p>
      <w:pPr>
        <w:pStyle w:val="ListBullet"/>
      </w:pPr>
      <w:r>
        <w:t>餐饮场所</w:t>
      </w:r>
    </w:p>
    <w:p>
      <w:pPr>
        <w:pStyle w:val="ListBullet"/>
      </w:pPr>
      <w:r>
        <w:t>居民用户</w:t>
      </w:r>
    </w:p>
    <w:p>
      <w:pPr>
        <w:pStyle w:val="ListBullet"/>
      </w:pPr>
      <w:r>
        <w:t xml:space="preserve">用户端 </w:t>
      </w:r>
      <w:r>
        <w:rPr>
          <w:rFonts w:ascii="Menlo" w:hAnsi="Menlo" w:eastAsia="Menlo"/>
        </w:rPr>
        <w:t>瓶、灶、管、阀</w:t>
      </w:r>
      <w:r>
        <w:t xml:space="preserve"> 与报警切断装置</w:t>
      </w:r>
    </w:p>
    <w:p>
      <w:pPr>
        <w:pStyle w:val="Heading2"/>
      </w:pPr>
      <w:r>
        <w:t>1. 为什么用户侧必须单独成章</w:t>
      </w:r>
    </w:p>
    <w:p>
      <w:r>
        <w:t>如果只看场站规范，容易出现一个误区：</w:t>
      </w:r>
    </w:p>
    <w:p>
      <w:pPr>
        <w:pStyle w:val="ListBullet"/>
      </w:pPr>
      <w:r>
        <w:t>站内合规了，就以为企业整体合规</w:t>
      </w:r>
    </w:p>
    <w:p>
      <w:r>
        <w:t>但实际监管逻辑已经不是这样。现在大量高风险问题都发生在：</w:t>
      </w:r>
    </w:p>
    <w:p>
      <w:pPr>
        <w:pStyle w:val="ListBullet"/>
      </w:pPr>
      <w:r>
        <w:t>用户违规使用</w:t>
      </w:r>
    </w:p>
    <w:p>
      <w:pPr>
        <w:pStyle w:val="ListBullet"/>
      </w:pPr>
      <w:r>
        <w:t>经营者未发现或发现后未书面告知</w:t>
      </w:r>
    </w:p>
    <w:p>
      <w:pPr>
        <w:pStyle w:val="ListBullet"/>
      </w:pPr>
      <w:r>
        <w:t>设备器具质量或安装维护不合规</w:t>
      </w:r>
    </w:p>
    <w:p>
      <w:pPr>
        <w:pStyle w:val="ListBullet"/>
      </w:pPr>
      <w:r>
        <w:t>报警切断缺失</w:t>
      </w:r>
    </w:p>
    <w:p>
      <w:pPr>
        <w:pStyle w:val="ListBullet"/>
      </w:pPr>
      <w:r>
        <w:t>瓶装服务链条断裂</w:t>
      </w:r>
    </w:p>
    <w:p>
      <w:r>
        <w:t>因此，用户侧不应只是终端运营的附属内容，而应作为知识库里的独立补充层。</w:t>
      </w:r>
    </w:p>
    <w:p>
      <w:pPr>
        <w:pStyle w:val="Heading2"/>
      </w:pPr>
      <w:r>
        <w:t>2. 用户侧治理对象</w:t>
      </w:r>
    </w:p>
    <w:p>
      <w:r>
        <w:t>当前知识库建议把用户侧分成 4 类对象来管理：</w:t>
      </w:r>
    </w:p>
    <w:p>
      <w:pPr>
        <w:pStyle w:val="Heading3"/>
      </w:pPr>
      <w:r>
        <w:t>2.1 居民用户</w:t>
      </w:r>
    </w:p>
    <w:p>
      <w:r>
        <w:t>关注点：</w:t>
      </w:r>
    </w:p>
    <w:p>
      <w:pPr>
        <w:pStyle w:val="ListBullet"/>
      </w:pPr>
      <w:r>
        <w:t>气瓶放置场所是否合法</w:t>
      </w:r>
    </w:p>
    <w:p>
      <w:pPr>
        <w:pStyle w:val="ListBullet"/>
      </w:pPr>
      <w:r>
        <w:t>是否使用淘汰器具</w:t>
      </w:r>
    </w:p>
    <w:p>
      <w:pPr>
        <w:pStyle w:val="ListBullet"/>
      </w:pPr>
      <w:r>
        <w:t>软管、减压阀、角阀是否老化</w:t>
      </w:r>
    </w:p>
    <w:p>
      <w:pPr>
        <w:pStyle w:val="ListBullet"/>
      </w:pPr>
      <w:r>
        <w:t>是否存在倒卧、曝晒、倒灌、倾倒残液等行为</w:t>
      </w:r>
    </w:p>
    <w:p>
      <w:pPr>
        <w:pStyle w:val="Heading3"/>
      </w:pPr>
      <w:r>
        <w:t>2.2 餐饮用户</w:t>
      </w:r>
    </w:p>
    <w:p>
      <w:r>
        <w:t>这是当前专项整治的绝对重点。</w:t>
      </w:r>
    </w:p>
    <w:p>
      <w:r>
        <w:t>关注点：</w:t>
      </w:r>
    </w:p>
    <w:p>
      <w:pPr>
        <w:pStyle w:val="ListBullet"/>
      </w:pPr>
      <w:r>
        <w:t>是否安装燃气泄漏报警切断装置</w:t>
      </w:r>
    </w:p>
    <w:p>
      <w:pPr>
        <w:pStyle w:val="ListBullet"/>
      </w:pPr>
      <w:r>
        <w:t>是否在公共用餐区域、大中型商店建筑厨房违规使用瓶装气</w:t>
      </w:r>
    </w:p>
    <w:p>
      <w:pPr>
        <w:pStyle w:val="ListBullet"/>
      </w:pPr>
      <w:r>
        <w:t>是否有明显的通风、防火分隔、器具选型问题</w:t>
      </w:r>
    </w:p>
    <w:p>
      <w:pPr>
        <w:pStyle w:val="Heading3"/>
      </w:pPr>
      <w:r>
        <w:t>2.3 单位食堂和企事业单位用户</w:t>
      </w:r>
    </w:p>
    <w:p>
      <w:r>
        <w:t>这类用户和餐饮用户类似，但更容易被忽视。检查时也应纳入：</w:t>
      </w:r>
    </w:p>
    <w:p>
      <w:pPr>
        <w:pStyle w:val="ListBullet"/>
      </w:pPr>
      <w:r>
        <w:t>报警切断</w:t>
      </w:r>
    </w:p>
    <w:p>
      <w:pPr>
        <w:pStyle w:val="ListBullet"/>
      </w:pPr>
      <w:r>
        <w:t>责任人</w:t>
      </w:r>
    </w:p>
    <w:p>
      <w:pPr>
        <w:pStyle w:val="ListBullet"/>
      </w:pPr>
      <w:r>
        <w:t>用气台账</w:t>
      </w:r>
    </w:p>
    <w:p>
      <w:pPr>
        <w:pStyle w:val="ListBullet"/>
      </w:pPr>
      <w:r>
        <w:t>隐患整改记录</w:t>
      </w:r>
    </w:p>
    <w:p>
      <w:pPr>
        <w:pStyle w:val="Heading3"/>
      </w:pPr>
      <w:r>
        <w:t>2.4 门店、挂靠点、供应点延伸用户</w:t>
      </w:r>
    </w:p>
    <w:p>
      <w:r>
        <w:t>这些点位往往是企业实际风险外溢的地方，典型问题包括：</w:t>
      </w:r>
    </w:p>
    <w:p>
      <w:pPr>
        <w:pStyle w:val="ListBullet"/>
      </w:pPr>
      <w:r>
        <w:t>实名不完整</w:t>
      </w:r>
    </w:p>
    <w:p>
      <w:pPr>
        <w:pStyle w:val="ListBullet"/>
      </w:pPr>
      <w:r>
        <w:t>钢瓶来源不清</w:t>
      </w:r>
    </w:p>
    <w:p>
      <w:pPr>
        <w:pStyle w:val="ListBullet"/>
      </w:pPr>
      <w:r>
        <w:t>配送记录和扫码脱节</w:t>
      </w:r>
    </w:p>
    <w:p>
      <w:pPr>
        <w:pStyle w:val="ListBullet"/>
      </w:pPr>
      <w:r>
        <w:t>门店执行口径不一致</w:t>
      </w:r>
    </w:p>
    <w:p>
      <w:pPr>
        <w:pStyle w:val="Heading2"/>
      </w:pPr>
      <w:r>
        <w:t>3. 瓶装服务链条的标准化思路</w:t>
      </w:r>
    </w:p>
    <w:p>
      <w:pPr>
        <w:pStyle w:val="Heading3"/>
      </w:pPr>
      <w:r>
        <w:t>3.1 一条完整的服务链</w:t>
      </w:r>
    </w:p>
    <w:p>
      <w:r>
        <w:t>对于瓶装液化石油气，至少应形成这条链：</w:t>
      </w:r>
    </w:p>
    <w:p>
      <w:pPr>
        <w:pStyle w:val="ListNumber"/>
      </w:pPr>
      <w:r>
        <w:t>合法气源</w:t>
      </w:r>
    </w:p>
    <w:p>
      <w:pPr>
        <w:pStyle w:val="ListNumber"/>
      </w:pPr>
      <w:r>
        <w:t>合法充装</w:t>
      </w:r>
    </w:p>
    <w:p>
      <w:pPr>
        <w:pStyle w:val="ListNumber"/>
      </w:pPr>
      <w:r>
        <w:t>自有瓶或可追溯瓶</w:t>
      </w:r>
    </w:p>
    <w:p>
      <w:pPr>
        <w:pStyle w:val="ListNumber"/>
      </w:pPr>
      <w:r>
        <w:t>出库扫码</w:t>
      </w:r>
    </w:p>
    <w:p>
      <w:pPr>
        <w:pStyle w:val="ListNumber"/>
      </w:pPr>
      <w:r>
        <w:t>合规配送</w:t>
      </w:r>
    </w:p>
    <w:p>
      <w:pPr>
        <w:pStyle w:val="ListNumber"/>
      </w:pPr>
      <w:r>
        <w:t>到户核验</w:t>
      </w:r>
    </w:p>
    <w:p>
      <w:pPr>
        <w:pStyle w:val="ListNumber"/>
      </w:pPr>
      <w:r>
        <w:t>随瓶安检</w:t>
      </w:r>
    </w:p>
    <w:p>
      <w:pPr>
        <w:pStyle w:val="ListNumber"/>
      </w:pPr>
      <w:r>
        <w:t>隐患书面告知</w:t>
      </w:r>
    </w:p>
    <w:p>
      <w:pPr>
        <w:pStyle w:val="ListNumber"/>
      </w:pPr>
      <w:r>
        <w:t>复查销号</w:t>
      </w:r>
    </w:p>
    <w:p>
      <w:pPr>
        <w:pStyle w:val="ListNumber"/>
      </w:pPr>
      <w:r>
        <w:t>回瓶闭环</w:t>
      </w:r>
    </w:p>
    <w:p>
      <w:r>
        <w:t>任何一个节点断裂，都会造成：</w:t>
      </w:r>
    </w:p>
    <w:p>
      <w:pPr>
        <w:pStyle w:val="ListBullet"/>
      </w:pPr>
      <w:r>
        <w:t>安全问题</w:t>
      </w:r>
    </w:p>
    <w:p>
      <w:pPr>
        <w:pStyle w:val="ListBullet"/>
      </w:pPr>
      <w:r>
        <w:t>合规问题</w:t>
      </w:r>
    </w:p>
    <w:p>
      <w:pPr>
        <w:pStyle w:val="ListBullet"/>
      </w:pPr>
      <w:r>
        <w:t>客诉问题</w:t>
      </w:r>
    </w:p>
    <w:p>
      <w:pPr>
        <w:pStyle w:val="ListBullet"/>
      </w:pPr>
      <w:r>
        <w:t>执法问题</w:t>
      </w:r>
    </w:p>
    <w:p>
      <w:pPr>
        <w:pStyle w:val="Heading3"/>
      </w:pPr>
      <w:r>
        <w:t>3.2 瓶装服务的真正关键</w:t>
      </w:r>
    </w:p>
    <w:p>
      <w:r>
        <w:t>从企业管理角度看，瓶装服务不只是“把瓶送到”。</w:t>
      </w:r>
    </w:p>
    <w:p>
      <w:r>
        <w:t>它至少同时承担 4 个功能：</w:t>
      </w:r>
    </w:p>
    <w:p>
      <w:pPr>
        <w:pStyle w:val="ListBullet"/>
      </w:pPr>
      <w:r>
        <w:t>交付功能</w:t>
      </w:r>
    </w:p>
    <w:p>
      <w:pPr>
        <w:pStyle w:val="ListBullet"/>
      </w:pPr>
      <w:r>
        <w:t>安检功能</w:t>
      </w:r>
    </w:p>
    <w:p>
      <w:pPr>
        <w:pStyle w:val="ListBullet"/>
      </w:pPr>
      <w:r>
        <w:t>留痕功能</w:t>
      </w:r>
    </w:p>
    <w:p>
      <w:pPr>
        <w:pStyle w:val="ListBullet"/>
      </w:pPr>
      <w:r>
        <w:t>风险识别功能</w:t>
      </w:r>
    </w:p>
    <w:p>
      <w:pPr>
        <w:pStyle w:val="Heading2"/>
      </w:pPr>
      <w:r>
        <w:t>4. 目前应纳入知识库的用户侧标准主题</w:t>
      </w:r>
    </w:p>
    <w:p>
      <w:r>
        <w:t>本轮审查后，建议把下面 4 类标准和文件作为用户侧补强的重点主题：</w:t>
      </w:r>
    </w:p>
    <w:p>
      <w:pPr>
        <w:pStyle w:val="Heading3"/>
      </w:pPr>
      <w:r>
        <w:t>4.1 瓶装供应站条件类</w:t>
      </w:r>
    </w:p>
    <w:p>
      <w:r>
        <w:t>重点主题：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第 8 章</w:t>
      </w:r>
    </w:p>
    <w:p>
      <w:pPr>
        <w:pStyle w:val="ListBullet"/>
      </w:pPr>
      <w:r>
        <w:t>广西条例、专项整治和经营服务管理要求</w:t>
      </w:r>
    </w:p>
    <w:p>
      <w:pPr>
        <w:pStyle w:val="ListBullet"/>
      </w:pPr>
      <w:r>
        <w:t>瓶装供应站独立标准编号待继续核正</w:t>
      </w:r>
    </w:p>
    <w:p>
      <w:r>
        <w:t>作用：</w:t>
      </w:r>
    </w:p>
    <w:p>
      <w:pPr>
        <w:pStyle w:val="ListBullet"/>
      </w:pPr>
      <w:r>
        <w:t>细化瓶装供应站的基本配置、建设和管理边界</w:t>
      </w:r>
    </w:p>
    <w:p>
      <w:r>
        <w:t>当前状态：</w:t>
      </w:r>
    </w:p>
    <w:p>
      <w:pPr>
        <w:pStyle w:val="ListBullet"/>
      </w:pPr>
      <w:r>
        <w:t>主题已经纳入知识库</w:t>
      </w:r>
    </w:p>
    <w:p>
      <w:pPr>
        <w:pStyle w:val="ListBullet"/>
      </w:pPr>
      <w:r>
        <w:t>但独立标准编号仍待继续核正</w:t>
      </w:r>
    </w:p>
    <w:p>
      <w:pPr>
        <w:pStyle w:val="ListBullet"/>
      </w:pPr>
      <w:r>
        <w:t xml:space="preserve">旧整理稿中把 </w:t>
      </w:r>
      <w:r>
        <w:rPr>
          <w:rFonts w:ascii="Menlo" w:hAnsi="Menlo" w:eastAsia="Menlo"/>
        </w:rPr>
        <w:t>CJJ/T 202</w:t>
      </w:r>
      <w:r>
        <w:t xml:space="preserve"> 写成瓶装供应站标准的做法，本轮已撤回</w:t>
      </w:r>
    </w:p>
    <w:p>
      <w:pPr>
        <w:pStyle w:val="Heading3"/>
      </w:pPr>
      <w:r>
        <w:t>4.2 报警控制系统类</w:t>
      </w:r>
    </w:p>
    <w:p>
      <w:r>
        <w:t>重点主题：</w:t>
      </w:r>
    </w:p>
    <w:p>
      <w:pPr>
        <w:pStyle w:val="ListBullet"/>
      </w:pPr>
      <w:r>
        <w:rPr>
          <w:rFonts w:ascii="Menlo" w:hAnsi="Menlo" w:eastAsia="Menlo"/>
        </w:rPr>
        <w:t>CJJ/T 146</w:t>
      </w:r>
      <w:r>
        <w:t>《城镇燃气报警控制系统技术规程》</w:t>
      </w:r>
    </w:p>
    <w:p>
      <w:r>
        <w:t>作用：</w:t>
      </w:r>
    </w:p>
    <w:p>
      <w:pPr>
        <w:pStyle w:val="ListBullet"/>
      </w:pPr>
      <w:r>
        <w:t>解决报警器、报警控制、联动、布点和运维这类技术规则问题</w:t>
      </w:r>
    </w:p>
    <w:p>
      <w:r>
        <w:t>当前状态：</w:t>
      </w:r>
    </w:p>
    <w:p>
      <w:pPr>
        <w:pStyle w:val="ListBullet"/>
      </w:pPr>
      <w:r>
        <w:t>主题已识别</w:t>
      </w:r>
    </w:p>
    <w:p>
      <w:pPr>
        <w:pStyle w:val="ListBullet"/>
      </w:pPr>
      <w:r>
        <w:t>原文级条文仍待补</w:t>
      </w:r>
    </w:p>
    <w:p>
      <w:pPr>
        <w:pStyle w:val="Heading3"/>
      </w:pPr>
      <w:r>
        <w:t>4.3 用户器具和连接件类</w:t>
      </w:r>
    </w:p>
    <w:p>
      <w:r>
        <w:t>重点主题：</w:t>
      </w:r>
    </w:p>
    <w:p>
      <w:pPr>
        <w:pStyle w:val="ListBullet"/>
      </w:pPr>
      <w:r>
        <w:t>灶具</w:t>
      </w:r>
    </w:p>
    <w:p>
      <w:pPr>
        <w:pStyle w:val="ListBullet"/>
      </w:pPr>
      <w:r>
        <w:t>连接管</w:t>
      </w:r>
    </w:p>
    <w:p>
      <w:pPr>
        <w:pStyle w:val="ListBullet"/>
      </w:pPr>
      <w:r>
        <w:t>减压阀</w:t>
      </w:r>
    </w:p>
    <w:p>
      <w:pPr>
        <w:pStyle w:val="ListBullet"/>
      </w:pPr>
      <w:r>
        <w:t>角阀</w:t>
      </w:r>
    </w:p>
    <w:p>
      <w:pPr>
        <w:pStyle w:val="ListBullet"/>
      </w:pPr>
      <w:r>
        <w:t>报警切断装置</w:t>
      </w:r>
    </w:p>
    <w:p>
      <w:r>
        <w:t>作用：</w:t>
      </w:r>
    </w:p>
    <w:p>
      <w:pPr>
        <w:pStyle w:val="ListBullet"/>
      </w:pPr>
      <w:r>
        <w:t xml:space="preserve">解决当前专项整治最常见的 </w:t>
      </w:r>
      <w:r>
        <w:rPr>
          <w:rFonts w:ascii="Menlo" w:hAnsi="Menlo" w:eastAsia="Menlo"/>
        </w:rPr>
        <w:t>瓶灶管阀</w:t>
      </w:r>
      <w:r>
        <w:t xml:space="preserve"> 治理问题</w:t>
      </w:r>
    </w:p>
    <w:p>
      <w:r>
        <w:t>当前状态：</w:t>
      </w:r>
    </w:p>
    <w:p>
      <w:pPr>
        <w:pStyle w:val="ListBullet"/>
      </w:pPr>
      <w:r>
        <w:t>已在案例库、匹配库和终端运营体系中体现</w:t>
      </w:r>
    </w:p>
    <w:p>
      <w:pPr>
        <w:pStyle w:val="ListBullet"/>
      </w:pPr>
      <w:r>
        <w:t>但尚未形成“标准原文 + 技术要求 + 检查点”的专项章节</w:t>
      </w:r>
    </w:p>
    <w:p>
      <w:pPr>
        <w:pStyle w:val="Heading3"/>
      </w:pPr>
      <w:r>
        <w:t>4.4 服务管理类</w:t>
      </w:r>
    </w:p>
    <w:p>
      <w:r>
        <w:t>重点主题：</w:t>
      </w:r>
    </w:p>
    <w:p>
      <w:pPr>
        <w:pStyle w:val="ListBullet"/>
      </w:pPr>
      <w:r>
        <w:t>瓶装经营服务管理制度</w:t>
      </w:r>
    </w:p>
    <w:p>
      <w:pPr>
        <w:pStyle w:val="ListBullet"/>
      </w:pPr>
      <w:r>
        <w:t>用户档案</w:t>
      </w:r>
    </w:p>
    <w:p>
      <w:pPr>
        <w:pStyle w:val="ListBullet"/>
      </w:pPr>
      <w:r>
        <w:t>实名购气</w:t>
      </w:r>
    </w:p>
    <w:p>
      <w:pPr>
        <w:pStyle w:val="ListBullet"/>
      </w:pPr>
      <w:r>
        <w:t>书面告知</w:t>
      </w:r>
    </w:p>
    <w:p>
      <w:pPr>
        <w:pStyle w:val="ListBullet"/>
      </w:pPr>
      <w:r>
        <w:t>配送留痕</w:t>
      </w:r>
    </w:p>
    <w:p>
      <w:pPr>
        <w:pStyle w:val="ListBullet"/>
      </w:pPr>
      <w:r>
        <w:t>投诉回访</w:t>
      </w:r>
    </w:p>
    <w:p>
      <w:r>
        <w:t>当前状态：</w:t>
      </w:r>
    </w:p>
    <w:p>
      <w:pPr>
        <w:pStyle w:val="ListBullet"/>
      </w:pPr>
      <w:r>
        <w:t>已纳入终端运营体系</w:t>
      </w:r>
    </w:p>
    <w:p>
      <w:pPr>
        <w:pStyle w:val="ListBullet"/>
      </w:pPr>
      <w:r>
        <w:t>仍需继续核正部分旧整理稿中的标准号和文件名</w:t>
      </w:r>
    </w:p>
    <w:p>
      <w:pPr>
        <w:pStyle w:val="Heading2"/>
      </w:pPr>
      <w:r>
        <w:t>5. 本轮校正发现的引用边界</w:t>
      </w:r>
    </w:p>
    <w:p>
      <w:pPr>
        <w:pStyle w:val="Heading3"/>
      </w:pPr>
      <w:r>
        <w:t>5.1 关于“瓶装燃气服务规范”</w:t>
      </w:r>
    </w:p>
    <w:p>
      <w:r>
        <w:t>本轮检索中发现：</w:t>
      </w:r>
    </w:p>
    <w:p>
      <w:pPr>
        <w:pStyle w:val="ListBullet"/>
      </w:pPr>
      <w:r>
        <w:t xml:space="preserve">本地旧整理稿把“瓶装燃气服务规范”标注为 </w:t>
      </w:r>
      <w:r>
        <w:rPr>
          <w:rFonts w:ascii="Menlo" w:hAnsi="Menlo" w:eastAsia="Menlo"/>
        </w:rPr>
        <w:t>GB/T 35432-2017</w:t>
      </w:r>
    </w:p>
    <w:p>
      <w:pPr>
        <w:pStyle w:val="ListBullet"/>
      </w:pPr>
      <w:r>
        <w:t xml:space="preserve">但截至 </w:t>
      </w:r>
      <w:r>
        <w:rPr>
          <w:rFonts w:ascii="Menlo" w:hAnsi="Menlo" w:eastAsia="Menlo"/>
        </w:rPr>
        <w:t>2026-04-21</w:t>
      </w:r>
      <w:r>
        <w:t>，本轮在线检索未能确认这一标准号与燃气服务主题对应</w:t>
      </w:r>
    </w:p>
    <w:p>
      <w:r>
        <w:t>因此本知识库采取的处理原则是：</w:t>
      </w:r>
    </w:p>
    <w:p>
      <w:pPr>
        <w:pStyle w:val="ListBullet"/>
      </w:pPr>
      <w:r>
        <w:t>保留“瓶装服务规范”作为待补主题</w:t>
      </w:r>
    </w:p>
    <w:p>
      <w:pPr>
        <w:pStyle w:val="ListBullet"/>
      </w:pPr>
      <w:r>
        <w:t xml:space="preserve">暂不把 </w:t>
      </w:r>
      <w:r>
        <w:rPr>
          <w:rFonts w:ascii="Menlo" w:hAnsi="Menlo" w:eastAsia="Menlo"/>
        </w:rPr>
        <w:t>GB/T 35432-2017</w:t>
      </w:r>
      <w:r>
        <w:t xml:space="preserve"> 作为现行燃气服务依据引用</w:t>
      </w:r>
    </w:p>
    <w:p>
      <w:pPr>
        <w:pStyle w:val="ListBullet"/>
      </w:pPr>
      <w:r>
        <w:t>后续必须等官方标准号核定后再恢复写入矩阵</w:t>
      </w:r>
    </w:p>
    <w:p>
      <w:pPr>
        <w:pStyle w:val="Heading3"/>
      </w:pPr>
      <w:r>
        <w:t>5.2 关于本地网页整理版文件</w:t>
      </w:r>
    </w:p>
    <w:p>
      <w:r>
        <w:t>你本地已有一个 [瓶装燃气经营服务管理办法_建城2014167号_2014.docx](/Users/tangjinchen/LPG_KB/06%20待整理资料/网页全文整理版/瓶装燃气经营服务管理办法_建城2014167号_2014.docx)。</w:t>
      </w:r>
    </w:p>
    <w:p>
      <w:r>
        <w:t>但本轮官方检索显示：</w:t>
      </w:r>
    </w:p>
    <w:p>
      <w:pPr>
        <w:pStyle w:val="ListBullet"/>
      </w:pPr>
      <w:r>
        <w:rPr>
          <w:rFonts w:ascii="Menlo" w:hAnsi="Menlo" w:eastAsia="Menlo"/>
        </w:rPr>
        <w:t>建城〔2014〕167号</w:t>
      </w:r>
      <w:r>
        <w:t xml:space="preserve"> 更稳定、可确认的官方文件指向，是《燃气经营许可管理办法》和《燃气经营企业从业人员专业培训考核管理办法》</w:t>
      </w:r>
    </w:p>
    <w:p>
      <w:r>
        <w:t>因此，这份本地 DOCX 目前更适合作为线索材料，而不适合作为已经核定无误的正式依据。</w:t>
      </w:r>
    </w:p>
    <w:p>
      <w:pPr>
        <w:pStyle w:val="Heading2"/>
      </w:pPr>
      <w:r>
        <w:t>6. 用户侧检查时最应该抓的点</w:t>
      </w:r>
    </w:p>
    <w:p>
      <w:pPr>
        <w:pStyle w:val="Heading3"/>
      </w:pPr>
      <w:r>
        <w:t>6.1 场所合法性</w:t>
      </w:r>
    </w:p>
    <w:p>
      <w:pPr>
        <w:pStyle w:val="ListBullet"/>
      </w:pPr>
      <w:r>
        <w:t>地下、半地下、高层、公共用餐区、大型商店建筑厨房等违规使用场所</w:t>
      </w:r>
    </w:p>
    <w:p>
      <w:pPr>
        <w:pStyle w:val="Heading3"/>
      </w:pPr>
      <w:r>
        <w:t>6.2 器具与连接件</w:t>
      </w:r>
    </w:p>
    <w:p>
      <w:pPr>
        <w:pStyle w:val="ListBullet"/>
      </w:pPr>
      <w:r>
        <w:t>淘汰器具</w:t>
      </w:r>
    </w:p>
    <w:p>
      <w:pPr>
        <w:pStyle w:val="ListBullet"/>
      </w:pPr>
      <w:r>
        <w:t>软管老化</w:t>
      </w:r>
    </w:p>
    <w:p>
      <w:pPr>
        <w:pStyle w:val="ListBullet"/>
      </w:pPr>
      <w:r>
        <w:t>减压阀不匹配</w:t>
      </w:r>
    </w:p>
    <w:p>
      <w:pPr>
        <w:pStyle w:val="ListBullet"/>
      </w:pPr>
      <w:r>
        <w:t>私接三通</w:t>
      </w:r>
    </w:p>
    <w:p>
      <w:pPr>
        <w:pStyle w:val="ListBullet"/>
      </w:pPr>
      <w:r>
        <w:t>瓶阀异常</w:t>
      </w:r>
    </w:p>
    <w:p>
      <w:pPr>
        <w:pStyle w:val="Heading3"/>
      </w:pPr>
      <w:r>
        <w:t>6.3 报警切断</w:t>
      </w:r>
    </w:p>
    <w:p>
      <w:pPr>
        <w:pStyle w:val="ListBullet"/>
      </w:pPr>
      <w:r>
        <w:t>是否应装而未装</w:t>
      </w:r>
    </w:p>
    <w:p>
      <w:pPr>
        <w:pStyle w:val="ListBullet"/>
      </w:pPr>
      <w:r>
        <w:t>是否已装但未联动</w:t>
      </w:r>
    </w:p>
    <w:p>
      <w:pPr>
        <w:pStyle w:val="ListBullet"/>
      </w:pPr>
      <w:r>
        <w:t>是否已坏但未修</w:t>
      </w:r>
    </w:p>
    <w:p>
      <w:pPr>
        <w:pStyle w:val="Heading3"/>
      </w:pPr>
      <w:r>
        <w:t>6.4 安检与告知</w:t>
      </w:r>
    </w:p>
    <w:p>
      <w:pPr>
        <w:pStyle w:val="ListBullet"/>
      </w:pPr>
      <w:r>
        <w:t>是否真正入户</w:t>
      </w:r>
    </w:p>
    <w:p>
      <w:pPr>
        <w:pStyle w:val="ListBullet"/>
      </w:pPr>
      <w:r>
        <w:t>是否留痕</w:t>
      </w:r>
    </w:p>
    <w:p>
      <w:pPr>
        <w:pStyle w:val="ListBullet"/>
      </w:pPr>
      <w:r>
        <w:t>是否书面告知</w:t>
      </w:r>
    </w:p>
    <w:p>
      <w:pPr>
        <w:pStyle w:val="ListBullet"/>
      </w:pPr>
      <w:r>
        <w:t>是否复查销号</w:t>
      </w:r>
    </w:p>
    <w:p>
      <w:pPr>
        <w:pStyle w:val="Heading3"/>
      </w:pPr>
      <w:r>
        <w:t>6.5 追溯与实名</w:t>
      </w:r>
    </w:p>
    <w:p>
      <w:pPr>
        <w:pStyle w:val="ListBullet"/>
      </w:pPr>
      <w:r>
        <w:t>用户实名是否完整</w:t>
      </w:r>
    </w:p>
    <w:p>
      <w:pPr>
        <w:pStyle w:val="ListBullet"/>
      </w:pPr>
      <w:r>
        <w:t>钢瓶能否追溯到充装和配送</w:t>
      </w:r>
    </w:p>
    <w:p>
      <w:pPr>
        <w:pStyle w:val="ListBullet"/>
      </w:pPr>
      <w:r>
        <w:t>超期瓶、异常瓶、来源不明瓶是否被隔离</w:t>
      </w:r>
    </w:p>
    <w:p>
      <w:pPr>
        <w:pStyle w:val="Heading2"/>
      </w:pPr>
      <w:r>
        <w:t>7. 这一层补进去后，知识库发生了什么变化</w:t>
      </w:r>
    </w:p>
    <w:p>
      <w:r>
        <w:t>补入用户侧与瓶装服务补充层之后，整个知识库的结构就从：</w:t>
      </w:r>
    </w:p>
    <w:p>
      <w:pPr>
        <w:pStyle w:val="ListBullet"/>
      </w:pPr>
      <w:r>
        <w:t>场站和法规为中心</w:t>
      </w:r>
    </w:p>
    <w:p>
      <w:r>
        <w:t>变成了：</w:t>
      </w:r>
    </w:p>
    <w:p>
      <w:pPr>
        <w:pStyle w:val="ListBullet"/>
      </w:pPr>
      <w:r>
        <w:rPr>
          <w:rFonts w:ascii="Menlo" w:hAnsi="Menlo" w:eastAsia="Menlo"/>
        </w:rPr>
        <w:t>场站 + 充装 + 配送 + 用户 + 服务 + 整改</w:t>
      </w:r>
      <w:r>
        <w:t xml:space="preserve"> 全流程结构</w:t>
      </w:r>
    </w:p>
    <w:p>
      <w:r>
        <w:t>这更接近真实企业运营，也更接近现在监管实际在看的重点。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