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08-检查案例库</w:t>
      </w:r>
    </w:p>
    <w:p>
      <w:r/>
    </w:p>
    <w:p>
      <w:pPr>
        <w:pStyle w:val="Heading1"/>
      </w:pPr>
      <w:r>
        <w:t>检查案例库</w:t>
      </w:r>
    </w:p>
    <w:p>
      <w:r>
        <w:t>本案例库不是事故新闻堆砌，而是按“场景-问题-证据-违反依据-整改动作”来写，目的是让你做培训、抽查、暗访、复盘时直接能用。</w:t>
      </w:r>
    </w:p>
    <w:p>
      <w:pPr>
        <w:pStyle w:val="Heading2"/>
      </w:pPr>
      <w:r>
        <w:t>用法</w:t>
      </w:r>
    </w:p>
    <w:p>
      <w:pPr>
        <w:pStyle w:val="ListBullet"/>
      </w:pPr>
      <w:r>
        <w:t>培训时：用“案例 + 为什么错 + 违反什么 + 怎么改”讲清楚。</w:t>
      </w:r>
    </w:p>
    <w:p>
      <w:pPr>
        <w:pStyle w:val="ListBullet"/>
      </w:pPr>
      <w:r>
        <w:t>现场检查时：直接对照“应看证据”和“常见狡辩点”。</w:t>
      </w:r>
    </w:p>
    <w:p>
      <w:pPr>
        <w:pStyle w:val="ListBullet"/>
      </w:pPr>
      <w:r>
        <w:t>写隐患单时：把案例里的问题描述改成现场表述即可。</w:t>
      </w:r>
    </w:p>
    <w:p>
      <w:pPr>
        <w:pStyle w:val="Heading2"/>
      </w:pPr>
      <w:r>
        <w:t>案例 1：未建立入户安检和书面告知闭环</w:t>
      </w:r>
    </w:p>
    <w:p>
      <w:pPr>
        <w:pStyle w:val="Heading3"/>
      </w:pPr>
      <w:r>
        <w:t>场景</w:t>
      </w:r>
    </w:p>
    <w:p>
      <w:r>
        <w:t>瓶装燃气配送到户，但送气人员没有发现明显隐患，或发现了问题却未出具书面告知单。</w:t>
      </w:r>
    </w:p>
    <w:p>
      <w:pPr>
        <w:pStyle w:val="Heading3"/>
      </w:pPr>
      <w:r>
        <w:t>常见表现</w:t>
      </w:r>
    </w:p>
    <w:p>
      <w:pPr>
        <w:pStyle w:val="ListBullet"/>
      </w:pPr>
      <w:r>
        <w:t>安检表填“无隐患”，但现场存在淘汰器具、老化软管、三通、违规场所使用</w:t>
      </w:r>
    </w:p>
    <w:p>
      <w:pPr>
        <w:pStyle w:val="ListBullet"/>
      </w:pPr>
      <w:r>
        <w:t>只有口头提醒，没有用户签字的书面告知</w:t>
      </w:r>
    </w:p>
    <w:p>
      <w:pPr>
        <w:pStyle w:val="ListBullet"/>
      </w:pPr>
      <w:r>
        <w:t>公司说“配送员看过了”，但没有留痕</w:t>
      </w:r>
    </w:p>
    <w:p>
      <w:pPr>
        <w:pStyle w:val="Heading3"/>
      </w:pPr>
      <w:r>
        <w:t>核心风险</w:t>
      </w:r>
    </w:p>
    <w:p>
      <w:pPr>
        <w:pStyle w:val="ListBullet"/>
      </w:pPr>
      <w:r>
        <w:t>用户端重大隐患继续运行</w:t>
      </w:r>
    </w:p>
    <w:p>
      <w:pPr>
        <w:pStyle w:val="ListBullet"/>
      </w:pPr>
      <w:r>
        <w:t>后续事故时企业很难证明已履责</w:t>
      </w:r>
    </w:p>
    <w:p>
      <w:pPr>
        <w:pStyle w:val="Heading3"/>
      </w:pPr>
      <w:r>
        <w:t>主要依据</w:t>
      </w:r>
    </w:p>
    <w:p>
      <w:pPr>
        <w:pStyle w:val="ListBullet"/>
      </w:pPr>
      <w:r>
        <w:t xml:space="preserve">《广西壮族自治区燃气管理条例》第 </w:t>
      </w:r>
      <w:r>
        <w:rPr>
          <w:rFonts w:ascii="Menlo" w:hAnsi="Menlo" w:eastAsia="Menlo"/>
        </w:rPr>
        <w:t>25</w:t>
      </w:r>
      <w:r>
        <w:t xml:space="preserve"> 条</w:t>
      </w:r>
    </w:p>
    <w:p>
      <w:pPr>
        <w:pStyle w:val="ListBullet"/>
      </w:pPr>
      <w:r>
        <w:rPr>
          <w:rFonts w:ascii="Menlo" w:hAnsi="Menlo" w:eastAsia="Menlo"/>
        </w:rPr>
        <w:t>建城规〔2023〕4号</w:t>
      </w:r>
      <w:r>
        <w:t xml:space="preserve"> 第 </w:t>
      </w:r>
      <w:r>
        <w:rPr>
          <w:rFonts w:ascii="Menlo" w:hAnsi="Menlo" w:eastAsia="Menlo"/>
        </w:rPr>
        <w:t>四条（五）</w:t>
      </w:r>
      <w:r>
        <w:t xml:space="preserve">、第 </w:t>
      </w:r>
      <w:r>
        <w:rPr>
          <w:rFonts w:ascii="Menlo" w:hAnsi="Menlo" w:eastAsia="Menlo"/>
        </w:rPr>
        <w:t>九条（四）</w:t>
      </w:r>
    </w:p>
    <w:p>
      <w:pPr>
        <w:pStyle w:val="Heading3"/>
      </w:pPr>
      <w:r>
        <w:t>检查证据</w:t>
      </w:r>
    </w:p>
    <w:p>
      <w:pPr>
        <w:pStyle w:val="ListBullet"/>
      </w:pPr>
      <w:r>
        <w:t>入户安检记录</w:t>
      </w:r>
    </w:p>
    <w:p>
      <w:pPr>
        <w:pStyle w:val="ListBullet"/>
      </w:pPr>
      <w:r>
        <w:t>书面告知单</w:t>
      </w:r>
    </w:p>
    <w:p>
      <w:pPr>
        <w:pStyle w:val="ListBullet"/>
      </w:pPr>
      <w:r>
        <w:t>整改复查记录</w:t>
      </w:r>
    </w:p>
    <w:p>
      <w:pPr>
        <w:pStyle w:val="ListBullet"/>
      </w:pPr>
      <w:r>
        <w:t>配送/安检照片</w:t>
      </w:r>
    </w:p>
    <w:p>
      <w:pPr>
        <w:pStyle w:val="Heading3"/>
      </w:pPr>
      <w:r>
        <w:t>整改动作</w:t>
      </w:r>
    </w:p>
    <w:p>
      <w:pPr>
        <w:pStyle w:val="ListBullet"/>
      </w:pPr>
      <w:r>
        <w:t>建立“发现隐患即书面告知”机制</w:t>
      </w:r>
    </w:p>
    <w:p>
      <w:pPr>
        <w:pStyle w:val="ListBullet"/>
      </w:pPr>
      <w:r>
        <w:t>固定整改模板和签收要求</w:t>
      </w:r>
    </w:p>
    <w:p>
      <w:pPr>
        <w:pStyle w:val="ListBullet"/>
      </w:pPr>
      <w:r>
        <w:t>对假安检、漏安检实行抽查和问责</w:t>
      </w:r>
    </w:p>
    <w:p>
      <w:pPr>
        <w:pStyle w:val="Heading2"/>
      </w:pPr>
      <w:r>
        <w:t>案例 2：餐饮用户未装报警切断仍供气</w:t>
      </w:r>
    </w:p>
    <w:p>
      <w:pPr>
        <w:pStyle w:val="Heading3"/>
      </w:pPr>
      <w:r>
        <w:t>场景</w:t>
      </w:r>
    </w:p>
    <w:p>
      <w:r>
        <w:t>餐饮店、单位食堂已经用气，但未安装燃气泄漏报警切断装置，企业仍继续供气。</w:t>
      </w:r>
    </w:p>
    <w:p>
      <w:pPr>
        <w:pStyle w:val="Heading3"/>
      </w:pPr>
      <w:r>
        <w:t>主要依据</w:t>
      </w:r>
    </w:p>
    <w:p>
      <w:pPr>
        <w:pStyle w:val="ListBullet"/>
      </w:pPr>
      <w:r>
        <w:t xml:space="preserve">《广西壮族自治区燃气管理条例》第 </w:t>
      </w:r>
      <w:r>
        <w:rPr>
          <w:rFonts w:ascii="Menlo" w:hAnsi="Menlo" w:eastAsia="Menlo"/>
        </w:rPr>
        <w:t>37</w:t>
      </w:r>
      <w:r>
        <w:t xml:space="preserve"> 条</w:t>
      </w:r>
    </w:p>
    <w:p>
      <w:pPr>
        <w:pStyle w:val="ListBullet"/>
      </w:pPr>
      <w:r>
        <w:t xml:space="preserve">第 </w:t>
      </w:r>
      <w:r>
        <w:rPr>
          <w:rFonts w:ascii="Menlo" w:hAnsi="Menlo" w:eastAsia="Menlo"/>
        </w:rPr>
        <w:t>55</w:t>
      </w:r>
      <w:r>
        <w:t xml:space="preserve"> 条</w:t>
      </w:r>
    </w:p>
    <w:p>
      <w:pPr>
        <w:pStyle w:val="Heading3"/>
      </w:pPr>
      <w:r>
        <w:t>核心风险</w:t>
      </w:r>
    </w:p>
    <w:p>
      <w:pPr>
        <w:pStyle w:val="ListBullet"/>
      </w:pPr>
      <w:r>
        <w:t>泄漏后无人及时切断</w:t>
      </w:r>
    </w:p>
    <w:p>
      <w:pPr>
        <w:pStyle w:val="ListBullet"/>
      </w:pPr>
      <w:r>
        <w:t>企业在监管检查中属于高风险问题</w:t>
      </w:r>
    </w:p>
    <w:p>
      <w:pPr>
        <w:pStyle w:val="Heading3"/>
      </w:pPr>
      <w:r>
        <w:t>检查证据</w:t>
      </w:r>
    </w:p>
    <w:p>
      <w:pPr>
        <w:pStyle w:val="ListBullet"/>
      </w:pPr>
      <w:r>
        <w:t>现场设备照片</w:t>
      </w:r>
    </w:p>
    <w:p>
      <w:pPr>
        <w:pStyle w:val="ListBullet"/>
      </w:pPr>
      <w:r>
        <w:t>报警器、切断阀安装和联动记录</w:t>
      </w:r>
    </w:p>
    <w:p>
      <w:pPr>
        <w:pStyle w:val="ListBullet"/>
      </w:pPr>
      <w:r>
        <w:t>供气合同、供气台账</w:t>
      </w:r>
    </w:p>
    <w:p>
      <w:pPr>
        <w:pStyle w:val="Heading3"/>
      </w:pPr>
      <w:r>
        <w:t>整改动作</w:t>
      </w:r>
    </w:p>
    <w:p>
      <w:pPr>
        <w:pStyle w:val="ListBullet"/>
      </w:pPr>
      <w:r>
        <w:t>未安装前不得新增供气</w:t>
      </w:r>
    </w:p>
    <w:p>
      <w:pPr>
        <w:pStyle w:val="ListBullet"/>
      </w:pPr>
      <w:r>
        <w:t>已供气用户列入限期整改</w:t>
      </w:r>
    </w:p>
    <w:p>
      <w:pPr>
        <w:pStyle w:val="ListBullet"/>
      </w:pPr>
      <w:r>
        <w:t>做联动测试并留存记录</w:t>
      </w:r>
    </w:p>
    <w:p>
      <w:pPr>
        <w:pStyle w:val="Heading2"/>
      </w:pPr>
      <w:r>
        <w:t>案例 3：地下、半地下或高层违规使用瓶装气</w:t>
      </w:r>
    </w:p>
    <w:p>
      <w:pPr>
        <w:pStyle w:val="Heading3"/>
      </w:pPr>
      <w:r>
        <w:t>场景</w:t>
      </w:r>
    </w:p>
    <w:p>
      <w:r>
        <w:t>用户在地下室、半地下室、高层建筑、公共用餐区域或大型商店建筑厨房使用瓶装液化气。</w:t>
      </w:r>
    </w:p>
    <w:p>
      <w:pPr>
        <w:pStyle w:val="Heading3"/>
      </w:pPr>
      <w:r>
        <w:t>主要依据</w:t>
      </w:r>
    </w:p>
    <w:p>
      <w:pPr>
        <w:pStyle w:val="ListBullet"/>
      </w:pPr>
      <w:r>
        <w:t xml:space="preserve">《广西壮族自治区燃气管理条例》第 </w:t>
      </w:r>
      <w:r>
        <w:rPr>
          <w:rFonts w:ascii="Menlo" w:hAnsi="Menlo" w:eastAsia="Menlo"/>
        </w:rPr>
        <w:t>38</w:t>
      </w:r>
      <w:r>
        <w:t xml:space="preserve"> 条</w:t>
      </w:r>
    </w:p>
    <w:p>
      <w:pPr>
        <w:pStyle w:val="ListBullet"/>
      </w:pPr>
      <w:r>
        <w:rPr>
          <w:rFonts w:ascii="Menlo" w:hAnsi="Menlo" w:eastAsia="Menlo"/>
        </w:rPr>
        <w:t>建城规〔2023〕4号</w:t>
      </w:r>
      <w:r>
        <w:t xml:space="preserve"> 第 </w:t>
      </w:r>
      <w:r>
        <w:rPr>
          <w:rFonts w:ascii="Menlo" w:hAnsi="Menlo" w:eastAsia="Menlo"/>
        </w:rPr>
        <w:t>九条（一）</w:t>
      </w:r>
    </w:p>
    <w:p>
      <w:pPr>
        <w:pStyle w:val="ListBullet"/>
      </w:pPr>
      <w:r>
        <w:rPr>
          <w:rFonts w:ascii="Menlo" w:hAnsi="Menlo" w:eastAsia="Menlo"/>
        </w:rPr>
        <w:t>GB 51142-2015</w:t>
      </w:r>
      <w:r>
        <w:t xml:space="preserve"> </w:t>
      </w:r>
      <w:r>
        <w:rPr>
          <w:rFonts w:ascii="Menlo" w:hAnsi="Menlo" w:eastAsia="Menlo"/>
        </w:rPr>
        <w:t>7.0.5</w:t>
      </w:r>
    </w:p>
    <w:p>
      <w:pPr>
        <w:pStyle w:val="Heading3"/>
      </w:pPr>
      <w:r>
        <w:t>核心风险</w:t>
      </w:r>
    </w:p>
    <w:p>
      <w:pPr>
        <w:pStyle w:val="ListBullet"/>
      </w:pPr>
      <w:r>
        <w:t>泄漏后气体低洼积聚，易形成爆炸环境</w:t>
      </w:r>
    </w:p>
    <w:p>
      <w:pPr>
        <w:pStyle w:val="Heading3"/>
      </w:pPr>
      <w:r>
        <w:t>检查证据</w:t>
      </w:r>
    </w:p>
    <w:p>
      <w:pPr>
        <w:pStyle w:val="ListBullet"/>
      </w:pPr>
      <w:r>
        <w:t>使用场所照片</w:t>
      </w:r>
    </w:p>
    <w:p>
      <w:pPr>
        <w:pStyle w:val="ListBullet"/>
      </w:pPr>
      <w:r>
        <w:t>建筑属性资料</w:t>
      </w:r>
    </w:p>
    <w:p>
      <w:pPr>
        <w:pStyle w:val="ListBullet"/>
      </w:pPr>
      <w:r>
        <w:t>用户档案和供气记录</w:t>
      </w:r>
    </w:p>
    <w:p>
      <w:pPr>
        <w:pStyle w:val="Heading3"/>
      </w:pPr>
      <w:r>
        <w:t>整改动作</w:t>
      </w:r>
    </w:p>
    <w:p>
      <w:pPr>
        <w:pStyle w:val="ListBullet"/>
      </w:pPr>
      <w:r>
        <w:t>立即督促停止违规使用</w:t>
      </w:r>
    </w:p>
    <w:p>
      <w:pPr>
        <w:pStyle w:val="ListBullet"/>
      </w:pPr>
      <w:r>
        <w:t>形成书面告知和复查记录</w:t>
      </w:r>
    </w:p>
    <w:p>
      <w:pPr>
        <w:pStyle w:val="ListBullet"/>
      </w:pPr>
      <w:r>
        <w:t>拒不整改时启动停供或拒供流程</w:t>
      </w:r>
    </w:p>
    <w:p>
      <w:pPr>
        <w:pStyle w:val="Heading2"/>
      </w:pPr>
      <w:r>
        <w:t>案例 4：配送车辆不合规，钢瓶未固定</w:t>
      </w:r>
    </w:p>
    <w:p>
      <w:pPr>
        <w:pStyle w:val="Heading3"/>
      </w:pPr>
      <w:r>
        <w:t>场景</w:t>
      </w:r>
    </w:p>
    <w:p>
      <w:r>
        <w:t>配送用三轮车、面包车、厢式封闭车运输钢瓶，或装车后无固定措施。</w:t>
      </w:r>
    </w:p>
    <w:p>
      <w:pPr>
        <w:pStyle w:val="Heading3"/>
      </w:pPr>
      <w:r>
        <w:t>主要依据</w:t>
      </w:r>
    </w:p>
    <w:p>
      <w:pPr>
        <w:pStyle w:val="ListBullet"/>
      </w:pPr>
      <w:r>
        <w:t xml:space="preserve">《广西壮族自治区燃气管理条例》第 </w:t>
      </w:r>
      <w:r>
        <w:rPr>
          <w:rFonts w:ascii="Menlo" w:hAnsi="Menlo" w:eastAsia="Menlo"/>
        </w:rPr>
        <w:t>29</w:t>
      </w:r>
      <w:r>
        <w:t xml:space="preserve"> 条</w:t>
      </w:r>
    </w:p>
    <w:p>
      <w:pPr>
        <w:pStyle w:val="ListBullet"/>
      </w:pPr>
      <w:r>
        <w:t>你本地安检问题台账里已有“配送三轮小黄车内无钢瓶固定措施”同类问题</w:t>
      </w:r>
    </w:p>
    <w:p>
      <w:pPr>
        <w:pStyle w:val="Heading3"/>
      </w:pPr>
      <w:r>
        <w:t>核心风险</w:t>
      </w:r>
    </w:p>
    <w:p>
      <w:pPr>
        <w:pStyle w:val="ListBullet"/>
      </w:pPr>
      <w:r>
        <w:t>运输过程中碰撞、滚动、阀门损伤、泄漏</w:t>
      </w:r>
    </w:p>
    <w:p>
      <w:pPr>
        <w:pStyle w:val="Heading3"/>
      </w:pPr>
      <w:r>
        <w:t>检查证据</w:t>
      </w:r>
    </w:p>
    <w:p>
      <w:pPr>
        <w:pStyle w:val="ListBullet"/>
      </w:pPr>
      <w:r>
        <w:t>车辆照片</w:t>
      </w:r>
    </w:p>
    <w:p>
      <w:pPr>
        <w:pStyle w:val="ListBullet"/>
      </w:pPr>
      <w:r>
        <w:t>运输资质</w:t>
      </w:r>
    </w:p>
    <w:p>
      <w:pPr>
        <w:pStyle w:val="ListBullet"/>
      </w:pPr>
      <w:r>
        <w:t>装车固定照片</w:t>
      </w:r>
    </w:p>
    <w:p>
      <w:pPr>
        <w:pStyle w:val="ListBullet"/>
      </w:pPr>
      <w:r>
        <w:t>配送员培训记录</w:t>
      </w:r>
    </w:p>
    <w:p>
      <w:pPr>
        <w:pStyle w:val="Heading3"/>
      </w:pPr>
      <w:r>
        <w:t>整改动作</w:t>
      </w:r>
    </w:p>
    <w:p>
      <w:pPr>
        <w:pStyle w:val="ListBullet"/>
      </w:pPr>
      <w:r>
        <w:t>禁止使用不合规车辆</w:t>
      </w:r>
    </w:p>
    <w:p>
      <w:pPr>
        <w:pStyle w:val="ListBullet"/>
      </w:pPr>
      <w:r>
        <w:t>固定装置标准化</w:t>
      </w:r>
    </w:p>
    <w:p>
      <w:pPr>
        <w:pStyle w:val="ListBullet"/>
      </w:pPr>
      <w:r>
        <w:t>培训和抽查同步执行</w:t>
      </w:r>
    </w:p>
    <w:p>
      <w:pPr>
        <w:pStyle w:val="Heading2"/>
      </w:pPr>
      <w:r>
        <w:t>案例 5：超期未检、无码、来源不明钢瓶流入终端</w:t>
      </w:r>
    </w:p>
    <w:p>
      <w:pPr>
        <w:pStyle w:val="Heading3"/>
      </w:pPr>
      <w:r>
        <w:t>场景</w:t>
      </w:r>
    </w:p>
    <w:p>
      <w:r>
        <w:t>用户使用的钢瓶已过检验周期、已到报废期限、无清晰标识，或者系统追溯不到来源。</w:t>
      </w:r>
    </w:p>
    <w:p>
      <w:pPr>
        <w:pStyle w:val="Heading3"/>
      </w:pPr>
      <w:r>
        <w:t>主要依据</w:t>
      </w:r>
    </w:p>
    <w:p>
      <w:pPr>
        <w:pStyle w:val="ListBullet"/>
      </w:pPr>
      <w:r>
        <w:t xml:space="preserve">《广西壮族自治区燃气管理条例》第 </w:t>
      </w:r>
      <w:r>
        <w:rPr>
          <w:rFonts w:ascii="Menlo" w:hAnsi="Menlo" w:eastAsia="Menlo"/>
        </w:rPr>
        <w:t>27</w:t>
      </w:r>
      <w:r>
        <w:t>、</w:t>
      </w:r>
      <w:r>
        <w:rPr>
          <w:rFonts w:ascii="Menlo" w:hAnsi="Menlo" w:eastAsia="Menlo"/>
        </w:rPr>
        <w:t>28</w:t>
      </w:r>
      <w:r>
        <w:t xml:space="preserve"> 条</w:t>
      </w:r>
    </w:p>
    <w:p>
      <w:pPr>
        <w:pStyle w:val="ListBullet"/>
      </w:pPr>
      <w:r>
        <w:t>《中华人民共和国特种设备安全法》</w:t>
      </w:r>
    </w:p>
    <w:p>
      <w:pPr>
        <w:pStyle w:val="ListBullet"/>
      </w:pPr>
      <w:r>
        <w:rPr>
          <w:rFonts w:ascii="Menlo" w:hAnsi="Menlo" w:eastAsia="Menlo"/>
        </w:rPr>
        <w:t>TSG 23-2021</w:t>
      </w:r>
    </w:p>
    <w:p>
      <w:pPr>
        <w:pStyle w:val="ListBullet"/>
      </w:pPr>
      <w:r>
        <w:rPr>
          <w:rFonts w:ascii="Menlo" w:hAnsi="Menlo" w:eastAsia="Menlo"/>
        </w:rPr>
        <w:t>GB/T 5842-2023</w:t>
      </w:r>
    </w:p>
    <w:p>
      <w:pPr>
        <w:pStyle w:val="Heading3"/>
      </w:pPr>
      <w:r>
        <w:t>核心风险</w:t>
      </w:r>
    </w:p>
    <w:p>
      <w:pPr>
        <w:pStyle w:val="ListBullet"/>
      </w:pPr>
      <w:r>
        <w:t>本体失效风险高</w:t>
      </w:r>
    </w:p>
    <w:p>
      <w:pPr>
        <w:pStyle w:val="ListBullet"/>
      </w:pPr>
      <w:r>
        <w:t>企业无法证明钢瓶全流程可控</w:t>
      </w:r>
    </w:p>
    <w:p>
      <w:pPr>
        <w:pStyle w:val="Heading3"/>
      </w:pPr>
      <w:r>
        <w:t>检查证据</w:t>
      </w:r>
    </w:p>
    <w:p>
      <w:pPr>
        <w:pStyle w:val="ListBullet"/>
      </w:pPr>
      <w:r>
        <w:t>瓶体标识</w:t>
      </w:r>
    </w:p>
    <w:p>
      <w:pPr>
        <w:pStyle w:val="ListBullet"/>
      </w:pPr>
      <w:r>
        <w:t>检验标志</w:t>
      </w:r>
    </w:p>
    <w:p>
      <w:pPr>
        <w:pStyle w:val="ListBullet"/>
      </w:pPr>
      <w:r>
        <w:t>扫码系统记录</w:t>
      </w:r>
    </w:p>
    <w:p>
      <w:pPr>
        <w:pStyle w:val="ListBullet"/>
      </w:pPr>
      <w:r>
        <w:t>出入库与配送记录</w:t>
      </w:r>
    </w:p>
    <w:p>
      <w:pPr>
        <w:pStyle w:val="Heading3"/>
      </w:pPr>
      <w:r>
        <w:t>整改动作</w:t>
      </w:r>
    </w:p>
    <w:p>
      <w:pPr>
        <w:pStyle w:val="ListBullet"/>
      </w:pPr>
      <w:r>
        <w:t>立即下架停用</w:t>
      </w:r>
    </w:p>
    <w:p>
      <w:pPr>
        <w:pStyle w:val="ListBullet"/>
      </w:pPr>
      <w:r>
        <w:t>追查来源</w:t>
      </w:r>
    </w:p>
    <w:p>
      <w:pPr>
        <w:pStyle w:val="ListBullet"/>
      </w:pPr>
      <w:r>
        <w:t>纳入异常钢瓶专项清理</w:t>
      </w:r>
    </w:p>
    <w:p>
      <w:pPr>
        <w:pStyle w:val="Heading2"/>
      </w:pPr>
      <w:r>
        <w:t>案例 6：非自有气瓶充装或销售未经许可单位充装的气</w:t>
      </w:r>
    </w:p>
    <w:p>
      <w:pPr>
        <w:pStyle w:val="Heading3"/>
      </w:pPr>
      <w:r>
        <w:t>场景</w:t>
      </w:r>
    </w:p>
    <w:p>
      <w:r>
        <w:t>企业为非自有气瓶充装，或销售未经许可单位充装的瓶装燃气。</w:t>
      </w:r>
    </w:p>
    <w:p>
      <w:pPr>
        <w:pStyle w:val="Heading3"/>
      </w:pPr>
      <w:r>
        <w:t>主要依据</w:t>
      </w:r>
    </w:p>
    <w:p>
      <w:pPr>
        <w:pStyle w:val="ListBullet"/>
      </w:pPr>
      <w:r>
        <w:rPr>
          <w:rFonts w:ascii="Menlo" w:hAnsi="Menlo" w:eastAsia="Menlo"/>
        </w:rPr>
        <w:t>建城规〔2023〕4号</w:t>
      </w:r>
      <w:r>
        <w:t xml:space="preserve"> 第 </w:t>
      </w:r>
      <w:r>
        <w:rPr>
          <w:rFonts w:ascii="Menlo" w:hAnsi="Menlo" w:eastAsia="Menlo"/>
        </w:rPr>
        <w:t>七条</w:t>
      </w:r>
    </w:p>
    <w:p>
      <w:pPr>
        <w:pStyle w:val="ListBullet"/>
      </w:pPr>
      <w:r>
        <w:t>《特种设备安全法》</w:t>
      </w:r>
    </w:p>
    <w:p>
      <w:pPr>
        <w:pStyle w:val="Heading3"/>
      </w:pPr>
      <w:r>
        <w:t>核心风险</w:t>
      </w:r>
    </w:p>
    <w:p>
      <w:pPr>
        <w:pStyle w:val="ListBullet"/>
      </w:pPr>
      <w:r>
        <w:t>责任边界失控</w:t>
      </w:r>
    </w:p>
    <w:p>
      <w:pPr>
        <w:pStyle w:val="ListBullet"/>
      </w:pPr>
      <w:r>
        <w:t>追溯断裂</w:t>
      </w:r>
    </w:p>
    <w:p>
      <w:pPr>
        <w:pStyle w:val="ListBullet"/>
      </w:pPr>
      <w:r>
        <w:t>一旦事故，企业承担极大合规风险</w:t>
      </w:r>
    </w:p>
    <w:p>
      <w:pPr>
        <w:pStyle w:val="Heading3"/>
      </w:pPr>
      <w:r>
        <w:t>检查证据</w:t>
      </w:r>
    </w:p>
    <w:p>
      <w:pPr>
        <w:pStyle w:val="ListBullet"/>
      </w:pPr>
      <w:r>
        <w:t>充装记录</w:t>
      </w:r>
    </w:p>
    <w:p>
      <w:pPr>
        <w:pStyle w:val="ListBullet"/>
      </w:pPr>
      <w:r>
        <w:t>钢瓶产权或编码信息</w:t>
      </w:r>
    </w:p>
    <w:p>
      <w:pPr>
        <w:pStyle w:val="ListBullet"/>
      </w:pPr>
      <w:r>
        <w:t>进出站扫码信息</w:t>
      </w:r>
    </w:p>
    <w:p>
      <w:pPr>
        <w:pStyle w:val="ListBullet"/>
      </w:pPr>
      <w:r>
        <w:t>购销台账</w:t>
      </w:r>
    </w:p>
    <w:p>
      <w:pPr>
        <w:pStyle w:val="Heading3"/>
      </w:pPr>
      <w:r>
        <w:t>整改动作</w:t>
      </w:r>
    </w:p>
    <w:p>
      <w:pPr>
        <w:pStyle w:val="ListBullet"/>
      </w:pPr>
      <w:r>
        <w:t>立即停止违规充装/销售</w:t>
      </w:r>
    </w:p>
    <w:p>
      <w:pPr>
        <w:pStyle w:val="ListBullet"/>
      </w:pPr>
      <w:r>
        <w:t>建立自有瓶识别机制</w:t>
      </w:r>
    </w:p>
    <w:p>
      <w:pPr>
        <w:pStyle w:val="ListBullet"/>
      </w:pPr>
      <w:r>
        <w:t>对无码瓶、外来瓶单独隔离</w:t>
      </w:r>
    </w:p>
    <w:p>
      <w:pPr>
        <w:pStyle w:val="Heading2"/>
      </w:pPr>
      <w:r>
        <w:t>案例 7：灌装区未设置残液倒空回收装置</w:t>
      </w:r>
    </w:p>
    <w:p>
      <w:pPr>
        <w:pStyle w:val="Heading3"/>
      </w:pPr>
      <w:r>
        <w:t>场景</w:t>
      </w:r>
    </w:p>
    <w:p>
      <w:r>
        <w:t>储配站或灌装站抽残装置缺失、软管老化、倒残规程不清，甚至残液管路设置不规范。</w:t>
      </w:r>
    </w:p>
    <w:p>
      <w:pPr>
        <w:pStyle w:val="Heading3"/>
      </w:pPr>
      <w:r>
        <w:t>主要依据</w:t>
      </w:r>
    </w:p>
    <w:p>
      <w:pPr>
        <w:pStyle w:val="ListBullet"/>
      </w:pPr>
      <w:r>
        <w:rPr>
          <w:rFonts w:ascii="Menlo" w:hAnsi="Menlo" w:eastAsia="Menlo"/>
        </w:rPr>
        <w:t>GB 51142-2015</w:t>
      </w:r>
      <w:r>
        <w:t xml:space="preserve"> </w:t>
      </w:r>
      <w:r>
        <w:rPr>
          <w:rFonts w:ascii="Menlo" w:hAnsi="Menlo" w:eastAsia="Menlo"/>
        </w:rPr>
        <w:t>5.3.13</w:t>
      </w:r>
    </w:p>
    <w:p>
      <w:pPr>
        <w:pStyle w:val="ListBullet"/>
      </w:pPr>
      <w:r>
        <w:t>你本地隐患-规范依据库已把这类问题归入高频重大风险项</w:t>
      </w:r>
    </w:p>
    <w:p>
      <w:pPr>
        <w:pStyle w:val="Heading3"/>
      </w:pPr>
      <w:r>
        <w:t>核心风险</w:t>
      </w:r>
    </w:p>
    <w:p>
      <w:pPr>
        <w:pStyle w:val="ListBullet"/>
      </w:pPr>
      <w:r>
        <w:t>违规抽残、残液处置失控</w:t>
      </w:r>
    </w:p>
    <w:p>
      <w:pPr>
        <w:pStyle w:val="ListBullet"/>
      </w:pPr>
      <w:r>
        <w:t>易形成泄漏和火灾爆炸风险</w:t>
      </w:r>
    </w:p>
    <w:p>
      <w:pPr>
        <w:pStyle w:val="Heading3"/>
      </w:pPr>
      <w:r>
        <w:t>检查证据</w:t>
      </w:r>
    </w:p>
    <w:p>
      <w:pPr>
        <w:pStyle w:val="ListBullet"/>
      </w:pPr>
      <w:r>
        <w:t>装置现场照片</w:t>
      </w:r>
    </w:p>
    <w:p>
      <w:pPr>
        <w:pStyle w:val="ListBullet"/>
      </w:pPr>
      <w:r>
        <w:t>操作规程</w:t>
      </w:r>
    </w:p>
    <w:p>
      <w:pPr>
        <w:pStyle w:val="ListBullet"/>
      </w:pPr>
      <w:r>
        <w:t>维护记录</w:t>
      </w:r>
    </w:p>
    <w:p>
      <w:pPr>
        <w:pStyle w:val="ListBullet"/>
      </w:pPr>
      <w:r>
        <w:t>残液去向记录</w:t>
      </w:r>
    </w:p>
    <w:p>
      <w:pPr>
        <w:pStyle w:val="Heading3"/>
      </w:pPr>
      <w:r>
        <w:t>整改动作</w:t>
      </w:r>
    </w:p>
    <w:p>
      <w:pPr>
        <w:pStyle w:val="ListBullet"/>
      </w:pPr>
      <w:r>
        <w:t>补齐装置</w:t>
      </w:r>
    </w:p>
    <w:p>
      <w:pPr>
        <w:pStyle w:val="ListBullet"/>
      </w:pPr>
      <w:r>
        <w:t>明确操作参数和禁令</w:t>
      </w:r>
    </w:p>
    <w:p>
      <w:pPr>
        <w:pStyle w:val="ListBullet"/>
      </w:pPr>
      <w:r>
        <w:t>做专项培训</w:t>
      </w:r>
    </w:p>
    <w:p>
      <w:pPr>
        <w:pStyle w:val="Heading2"/>
      </w:pPr>
      <w:r>
        <w:t>案例 8：爆炸危险区域使用非防爆电气</w:t>
      </w:r>
    </w:p>
    <w:p>
      <w:pPr>
        <w:pStyle w:val="Heading3"/>
      </w:pPr>
      <w:r>
        <w:t>场景</w:t>
      </w:r>
    </w:p>
    <w:p>
      <w:r>
        <w:t>充装台、瓶组间、灌瓶间存在非防爆照明、摄像头、开关、插座、电动车或非防爆工具。</w:t>
      </w:r>
    </w:p>
    <w:p>
      <w:pPr>
        <w:pStyle w:val="Heading3"/>
      </w:pPr>
      <w:r>
        <w:t>主要依据</w:t>
      </w:r>
    </w:p>
    <w:p>
      <w:pPr>
        <w:pStyle w:val="ListBullet"/>
      </w:pPr>
      <w:r>
        <w:rPr>
          <w:rFonts w:ascii="Menlo" w:hAnsi="Menlo" w:eastAsia="Menlo"/>
        </w:rPr>
        <w:t>建城规〔2023〕4号</w:t>
      </w:r>
      <w:r>
        <w:t xml:space="preserve"> 第 </w:t>
      </w:r>
      <w:r>
        <w:rPr>
          <w:rFonts w:ascii="Menlo" w:hAnsi="Menlo" w:eastAsia="Menlo"/>
        </w:rPr>
        <w:t>五条（四）</w:t>
      </w:r>
    </w:p>
    <w:p>
      <w:pPr>
        <w:pStyle w:val="ListBullet"/>
      </w:pPr>
      <w:r>
        <w:rPr>
          <w:rFonts w:ascii="Menlo" w:hAnsi="Menlo" w:eastAsia="Menlo"/>
        </w:rPr>
        <w:t>GB 51142-2015</w:t>
      </w:r>
      <w:r>
        <w:t xml:space="preserve"> 第 </w:t>
      </w:r>
      <w:r>
        <w:rPr>
          <w:rFonts w:ascii="Menlo" w:hAnsi="Menlo" w:eastAsia="Menlo"/>
        </w:rPr>
        <w:t>12</w:t>
      </w:r>
      <w:r>
        <w:t xml:space="preserve"> 章</w:t>
      </w:r>
    </w:p>
    <w:p>
      <w:pPr>
        <w:pStyle w:val="Heading3"/>
      </w:pPr>
      <w:r>
        <w:t>核心风险</w:t>
      </w:r>
    </w:p>
    <w:p>
      <w:pPr>
        <w:pStyle w:val="ListBullet"/>
      </w:pPr>
      <w:r>
        <w:t>电火花引燃泄漏气体</w:t>
      </w:r>
    </w:p>
    <w:p>
      <w:pPr>
        <w:pStyle w:val="Heading3"/>
      </w:pPr>
      <w:r>
        <w:t>检查证据</w:t>
      </w:r>
    </w:p>
    <w:p>
      <w:pPr>
        <w:pStyle w:val="ListBullet"/>
      </w:pPr>
      <w:r>
        <w:t>设备铭牌</w:t>
      </w:r>
    </w:p>
    <w:p>
      <w:pPr>
        <w:pStyle w:val="ListBullet"/>
      </w:pPr>
      <w:r>
        <w:t>防爆合格证</w:t>
      </w:r>
    </w:p>
    <w:p>
      <w:pPr>
        <w:pStyle w:val="ListBullet"/>
      </w:pPr>
      <w:r>
        <w:t>安装位置照片</w:t>
      </w:r>
    </w:p>
    <w:p>
      <w:pPr>
        <w:pStyle w:val="Heading3"/>
      </w:pPr>
      <w:r>
        <w:t>整改动作</w:t>
      </w:r>
    </w:p>
    <w:p>
      <w:pPr>
        <w:pStyle w:val="ListBullet"/>
      </w:pPr>
      <w:r>
        <w:t>全面排查并更换</w:t>
      </w:r>
    </w:p>
    <w:p>
      <w:pPr>
        <w:pStyle w:val="ListBullet"/>
      </w:pPr>
      <w:r>
        <w:t>划定爆炸危险区域</w:t>
      </w:r>
    </w:p>
    <w:p>
      <w:pPr>
        <w:pStyle w:val="ListBullet"/>
      </w:pPr>
      <w:r>
        <w:t>建立入区设备清单和准入制度</w:t>
      </w:r>
    </w:p>
    <w:p>
      <w:pPr>
        <w:pStyle w:val="Heading2"/>
      </w:pPr>
      <w:r>
        <w:t>案例 9：报警系统失效或覆盖不全</w:t>
      </w:r>
    </w:p>
    <w:p>
      <w:pPr>
        <w:pStyle w:val="Heading3"/>
      </w:pPr>
      <w:r>
        <w:t>场景</w:t>
      </w:r>
    </w:p>
    <w:p>
      <w:r>
        <w:t>固定式可燃气体报警装置损坏、断电、未联动，或餐饮厨房报警器不能覆盖全部用气区域。</w:t>
      </w:r>
    </w:p>
    <w:p>
      <w:pPr>
        <w:pStyle w:val="Heading3"/>
      </w:pPr>
      <w:r>
        <w:t>主要依据</w:t>
      </w:r>
    </w:p>
    <w:p>
      <w:pPr>
        <w:pStyle w:val="ListBullet"/>
      </w:pPr>
      <w:r>
        <w:rPr>
          <w:rFonts w:ascii="Menlo" w:hAnsi="Menlo" w:eastAsia="Menlo"/>
        </w:rPr>
        <w:t>建城规〔2023〕4号</w:t>
      </w:r>
      <w:r>
        <w:t xml:space="preserve"> 第 </w:t>
      </w:r>
      <w:r>
        <w:rPr>
          <w:rFonts w:ascii="Menlo" w:hAnsi="Menlo" w:eastAsia="Menlo"/>
        </w:rPr>
        <w:t>五条（五）</w:t>
      </w:r>
    </w:p>
    <w:p>
      <w:pPr>
        <w:pStyle w:val="ListBullet"/>
      </w:pPr>
      <w:r>
        <w:t xml:space="preserve">《广西壮族自治区燃气管理条例》第 </w:t>
      </w:r>
      <w:r>
        <w:rPr>
          <w:rFonts w:ascii="Menlo" w:hAnsi="Menlo" w:eastAsia="Menlo"/>
        </w:rPr>
        <w:t>37</w:t>
      </w:r>
      <w:r>
        <w:t xml:space="preserve"> 条</w:t>
      </w:r>
    </w:p>
    <w:p>
      <w:pPr>
        <w:pStyle w:val="Heading3"/>
      </w:pPr>
      <w:r>
        <w:t>核心风险</w:t>
      </w:r>
    </w:p>
    <w:p>
      <w:pPr>
        <w:pStyle w:val="ListBullet"/>
      </w:pPr>
      <w:r>
        <w:t>泄漏后无法第一时间发现并切断</w:t>
      </w:r>
    </w:p>
    <w:p>
      <w:pPr>
        <w:pStyle w:val="Heading3"/>
      </w:pPr>
      <w:r>
        <w:t>检查证据</w:t>
      </w:r>
    </w:p>
    <w:p>
      <w:pPr>
        <w:pStyle w:val="ListBullet"/>
      </w:pPr>
      <w:r>
        <w:t>报警器布点图</w:t>
      </w:r>
    </w:p>
    <w:p>
      <w:pPr>
        <w:pStyle w:val="ListBullet"/>
      </w:pPr>
      <w:r>
        <w:t>联动测试记录</w:t>
      </w:r>
    </w:p>
    <w:p>
      <w:pPr>
        <w:pStyle w:val="ListBullet"/>
      </w:pPr>
      <w:r>
        <w:t>故障台账</w:t>
      </w:r>
    </w:p>
    <w:p>
      <w:pPr>
        <w:pStyle w:val="Heading3"/>
      </w:pPr>
      <w:r>
        <w:t>整改动作</w:t>
      </w:r>
    </w:p>
    <w:p>
      <w:pPr>
        <w:pStyle w:val="ListBullet"/>
      </w:pPr>
      <w:r>
        <w:t>补点位、补联动、补检定</w:t>
      </w:r>
    </w:p>
    <w:p>
      <w:pPr>
        <w:pStyle w:val="ListBullet"/>
      </w:pPr>
      <w:r>
        <w:t>纳入每周功能抽测</w:t>
      </w:r>
    </w:p>
    <w:p>
      <w:pPr>
        <w:pStyle w:val="Heading2"/>
      </w:pPr>
      <w:r>
        <w:t>案例 10：瓶库管理混乱，实瓶空瓶未分区或露天存放</w:t>
      </w:r>
    </w:p>
    <w:p>
      <w:pPr>
        <w:pStyle w:val="Heading3"/>
      </w:pPr>
      <w:r>
        <w:t>场景</w:t>
      </w:r>
    </w:p>
    <w:p>
      <w:r>
        <w:t>瓶装供应站把钢瓶露天堆放，或实瓶、空瓶混放，或无人值守 III 类瓶库没有远程防护。</w:t>
      </w:r>
    </w:p>
    <w:p>
      <w:pPr>
        <w:pStyle w:val="Heading3"/>
      </w:pPr>
      <w:r>
        <w:t>主要依据</w:t>
      </w:r>
    </w:p>
    <w:p>
      <w:pPr>
        <w:pStyle w:val="ListBullet"/>
      </w:pPr>
      <w:r>
        <w:rPr>
          <w:rFonts w:ascii="Menlo" w:hAnsi="Menlo" w:eastAsia="Menlo"/>
        </w:rPr>
        <w:t>GB 51142-2015</w:t>
      </w:r>
      <w:r>
        <w:t xml:space="preserve"> </w:t>
      </w:r>
      <w:r>
        <w:rPr>
          <w:rFonts w:ascii="Menlo" w:hAnsi="Menlo" w:eastAsia="Menlo"/>
        </w:rPr>
        <w:t>8.0.2</w:t>
      </w:r>
    </w:p>
    <w:p>
      <w:pPr>
        <w:pStyle w:val="ListBullet"/>
      </w:pPr>
      <w:r>
        <w:rPr>
          <w:rFonts w:ascii="Menlo" w:hAnsi="Menlo" w:eastAsia="Menlo"/>
        </w:rPr>
        <w:t>GB 51142-2015</w:t>
      </w:r>
      <w:r>
        <w:t xml:space="preserve"> </w:t>
      </w:r>
      <w:r>
        <w:rPr>
          <w:rFonts w:ascii="Menlo" w:hAnsi="Menlo" w:eastAsia="Menlo"/>
        </w:rPr>
        <w:t>8.0.7</w:t>
      </w:r>
    </w:p>
    <w:p>
      <w:pPr>
        <w:pStyle w:val="Heading3"/>
      </w:pPr>
      <w:r>
        <w:t>核心风险</w:t>
      </w:r>
    </w:p>
    <w:p>
      <w:pPr>
        <w:pStyle w:val="ListBullet"/>
      </w:pPr>
      <w:r>
        <w:t>失控堆放</w:t>
      </w:r>
    </w:p>
    <w:p>
      <w:pPr>
        <w:pStyle w:val="ListBullet"/>
      </w:pPr>
      <w:r>
        <w:t>难以追溯</w:t>
      </w:r>
    </w:p>
    <w:p>
      <w:pPr>
        <w:pStyle w:val="ListBullet"/>
      </w:pPr>
      <w:r>
        <w:t>火灾荷载和泄漏风险上升</w:t>
      </w:r>
    </w:p>
    <w:p>
      <w:pPr>
        <w:pStyle w:val="Heading3"/>
      </w:pPr>
      <w:r>
        <w:t>检查证据</w:t>
      </w:r>
    </w:p>
    <w:p>
      <w:pPr>
        <w:pStyle w:val="ListBullet"/>
      </w:pPr>
      <w:r>
        <w:t>现场分区照片</w:t>
      </w:r>
    </w:p>
    <w:p>
      <w:pPr>
        <w:pStyle w:val="ListBullet"/>
      </w:pPr>
      <w:r>
        <w:t>库房布置图</w:t>
      </w:r>
    </w:p>
    <w:p>
      <w:pPr>
        <w:pStyle w:val="ListBullet"/>
      </w:pPr>
      <w:r>
        <w:t>远程防护记录</w:t>
      </w:r>
    </w:p>
    <w:p>
      <w:pPr>
        <w:pStyle w:val="Heading3"/>
      </w:pPr>
      <w:r>
        <w:t>整改动作</w:t>
      </w:r>
    </w:p>
    <w:p>
      <w:pPr>
        <w:pStyle w:val="ListBullet"/>
      </w:pPr>
      <w:r>
        <w:t>重做分区</w:t>
      </w:r>
    </w:p>
    <w:p>
      <w:pPr>
        <w:pStyle w:val="ListBullet"/>
      </w:pPr>
      <w:r>
        <w:t>禁止露天存放</w:t>
      </w:r>
    </w:p>
    <w:p>
      <w:pPr>
        <w:pStyle w:val="ListBullet"/>
      </w:pPr>
      <w:r>
        <w:t>无人值守场景补远程防护</w:t>
      </w:r>
    </w:p>
    <w:p>
      <w:pPr>
        <w:pStyle w:val="Heading2"/>
      </w:pPr>
      <w:r>
        <w:t>案例 11：客服工单闭环弱，重大事项升级迟缓</w:t>
      </w:r>
    </w:p>
    <w:p>
      <w:pPr>
        <w:pStyle w:val="Heading3"/>
      </w:pPr>
      <w:r>
        <w:t>场景</w:t>
      </w:r>
    </w:p>
    <w:p>
      <w:r>
        <w:t>投诉、报修、疑似泄漏、扫码异常、退户风险等被当作普通工单处理，超时、遗漏、没有升级。</w:t>
      </w:r>
    </w:p>
    <w:p>
      <w:pPr>
        <w:pStyle w:val="Heading3"/>
      </w:pPr>
      <w:r>
        <w:t>参考底稿</w:t>
      </w:r>
    </w:p>
    <w:p>
      <w:pPr>
        <w:pStyle w:val="ListBullet"/>
      </w:pPr>
      <w:r>
        <w:t>你本地 [阳朔福隆客服中心职责培训条款更新版](/Users/tangjinchen/LPG_KB/04%20客服与终端运营库/客服职责/阳朔福隆客服中心工作职责培训条款更新版.docx)</w:t>
      </w:r>
    </w:p>
    <w:p>
      <w:pPr>
        <w:pStyle w:val="ListBullet"/>
      </w:pPr>
      <w:r>
        <w:t>你本地 [客服中心周工作汇报模板](/Users/tangjinchen/LPG_KB/04%20客服与终端运营库/客服周报/客服中心周工作汇报模板.xlsx)</w:t>
      </w:r>
    </w:p>
    <w:p>
      <w:pPr>
        <w:pStyle w:val="Heading3"/>
      </w:pPr>
      <w:r>
        <w:t>核心风险</w:t>
      </w:r>
    </w:p>
    <w:p>
      <w:pPr>
        <w:pStyle w:val="ListBullet"/>
      </w:pPr>
      <w:r>
        <w:t>风险线索沉没</w:t>
      </w:r>
    </w:p>
    <w:p>
      <w:pPr>
        <w:pStyle w:val="ListBullet"/>
      </w:pPr>
      <w:r>
        <w:t>服务投诉演变为监管投诉</w:t>
      </w:r>
    </w:p>
    <w:p>
      <w:pPr>
        <w:pStyle w:val="ListBullet"/>
      </w:pPr>
      <w:r>
        <w:t>安全问题错过最佳处置时点</w:t>
      </w:r>
    </w:p>
    <w:p>
      <w:pPr>
        <w:pStyle w:val="Heading3"/>
      </w:pPr>
      <w:r>
        <w:t>整改动作</w:t>
      </w:r>
    </w:p>
    <w:p>
      <w:pPr>
        <w:pStyle w:val="ListBullet"/>
      </w:pPr>
      <w:r>
        <w:t>建立 P1 级升级机制</w:t>
      </w:r>
    </w:p>
    <w:p>
      <w:pPr>
        <w:pStyle w:val="ListBullet"/>
      </w:pPr>
      <w:r>
        <w:t>把重大事项纳入 10 分钟内上报红线</w:t>
      </w:r>
    </w:p>
    <w:p>
      <w:pPr>
        <w:pStyle w:val="ListBullet"/>
      </w:pPr>
      <w:r>
        <w:t>周报固定输出逾期工单和重大事项台账</w:t>
      </w:r>
    </w:p>
    <w:p>
      <w:pPr>
        <w:pStyle w:val="Heading2"/>
      </w:pPr>
      <w:r>
        <w:t>案例 12：停复气程序不规范</w:t>
      </w:r>
    </w:p>
    <w:p>
      <w:pPr>
        <w:pStyle w:val="Heading3"/>
      </w:pPr>
      <w:r>
        <w:t>场景</w:t>
      </w:r>
    </w:p>
    <w:p>
      <w:r>
        <w:t>管道燃气经营者因施工或检修暂停供气，但未提前告知；恢复供气也未按规定时段和流程执行。</w:t>
      </w:r>
    </w:p>
    <w:p>
      <w:pPr>
        <w:pStyle w:val="Heading3"/>
      </w:pPr>
      <w:r>
        <w:t>主要依据</w:t>
      </w:r>
    </w:p>
    <w:p>
      <w:pPr>
        <w:pStyle w:val="ListBullet"/>
      </w:pPr>
      <w:r>
        <w:t xml:space="preserve">《广西壮族自治区燃气管理条例》第 </w:t>
      </w:r>
      <w:r>
        <w:rPr>
          <w:rFonts w:ascii="Menlo" w:hAnsi="Menlo" w:eastAsia="Menlo"/>
        </w:rPr>
        <w:t>31</w:t>
      </w:r>
      <w:r>
        <w:t xml:space="preserve"> 条</w:t>
      </w:r>
    </w:p>
    <w:p>
      <w:pPr>
        <w:pStyle w:val="Heading3"/>
      </w:pPr>
      <w:r>
        <w:t>核心风险</w:t>
      </w:r>
    </w:p>
    <w:p>
      <w:pPr>
        <w:pStyle w:val="ListBullet"/>
      </w:pPr>
      <w:r>
        <w:t>用户投诉</w:t>
      </w:r>
    </w:p>
    <w:p>
      <w:pPr>
        <w:pStyle w:val="ListBullet"/>
      </w:pPr>
      <w:r>
        <w:t>恢复供气时次生事故风险</w:t>
      </w:r>
    </w:p>
    <w:p>
      <w:pPr>
        <w:pStyle w:val="Heading3"/>
      </w:pPr>
      <w:r>
        <w:t>整改动作</w:t>
      </w:r>
    </w:p>
    <w:p>
      <w:pPr>
        <w:pStyle w:val="ListBullet"/>
      </w:pPr>
      <w:r>
        <w:t xml:space="preserve">停供提前 </w:t>
      </w:r>
      <w:r>
        <w:rPr>
          <w:rFonts w:ascii="Menlo" w:hAnsi="Menlo" w:eastAsia="Menlo"/>
        </w:rPr>
        <w:t>48</w:t>
      </w:r>
      <w:r>
        <w:t xml:space="preserve"> 小时公告或书面通知</w:t>
      </w:r>
    </w:p>
    <w:p>
      <w:pPr>
        <w:pStyle w:val="ListBullet"/>
      </w:pPr>
      <w:r>
        <w:t>恢复供气前落实安全措施</w:t>
      </w:r>
    </w:p>
    <w:p>
      <w:pPr>
        <w:pStyle w:val="ListBullet"/>
      </w:pPr>
      <w:r>
        <w:t xml:space="preserve">不得在当日 </w:t>
      </w:r>
      <w:r>
        <w:rPr>
          <w:rFonts w:ascii="Menlo" w:hAnsi="Menlo" w:eastAsia="Menlo"/>
        </w:rPr>
        <w:t>22:00</w:t>
      </w:r>
      <w:r>
        <w:t xml:space="preserve"> 至次日 </w:t>
      </w:r>
      <w:r>
        <w:rPr>
          <w:rFonts w:ascii="Menlo" w:hAnsi="Menlo" w:eastAsia="Menlo"/>
        </w:rPr>
        <w:t>06:00</w:t>
      </w:r>
      <w:r>
        <w:t xml:space="preserve"> 之间向居民用户恢复供气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 w:eastAsia="Microsoft YaHe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