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32"/>
        </w:rPr>
        <w:t>04-标准法规矩阵</w:t>
      </w:r>
    </w:p>
    <w:p>
      <w:r/>
    </w:p>
    <w:p>
      <w:pPr>
        <w:pStyle w:val="Heading1"/>
      </w:pPr>
      <w:r>
        <w:t>标准法规矩阵</w:t>
      </w:r>
    </w:p>
    <w:p>
      <w:r>
        <w:t>更新时间：2026-04-21</w:t>
      </w:r>
    </w:p>
    <w:p>
      <w:pPr>
        <w:pStyle w:val="Heading2"/>
      </w:pPr>
      <w:r>
        <w:t>一、总法层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层级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文件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作用</w:t>
            </w:r>
          </w:p>
        </w:tc>
      </w:tr>
      <w:tr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</w:t>
            </w:r>
          </w:p>
        </w:tc>
      </w:tr>
      <w:tr>
        <w:tc>
          <w:tcPr>
            <w:tcW w:type="dxa" w:w="2880"/>
          </w:tcPr>
          <w:p>
            <w:r>
              <w:t>国家法律</w:t>
            </w:r>
          </w:p>
        </w:tc>
        <w:tc>
          <w:tcPr>
            <w:tcW w:type="dxa" w:w="2880"/>
          </w:tcPr>
          <w:p>
            <w:r>
              <w:t>《中华人民共和国安全生产法》</w:t>
            </w:r>
          </w:p>
        </w:tc>
        <w:tc>
          <w:tcPr>
            <w:tcW w:type="dxa" w:w="2880"/>
          </w:tcPr>
          <w:p>
            <w:r>
              <w:t>企业主要负责人职责、安全投入、教育培训、隐患排查、应急救援总体要求</w:t>
            </w:r>
          </w:p>
        </w:tc>
      </w:tr>
      <w:tr>
        <w:tc>
          <w:tcPr>
            <w:tcW w:type="dxa" w:w="2880"/>
          </w:tcPr>
          <w:p>
            <w:r>
              <w:t>国家法律</w:t>
            </w:r>
          </w:p>
        </w:tc>
        <w:tc>
          <w:tcPr>
            <w:tcW w:type="dxa" w:w="2880"/>
          </w:tcPr>
          <w:p>
            <w:r>
              <w:t>《中华人民共和国消防法》</w:t>
            </w:r>
          </w:p>
        </w:tc>
        <w:tc>
          <w:tcPr>
            <w:tcW w:type="dxa" w:w="2880"/>
          </w:tcPr>
          <w:p>
            <w:r>
              <w:t>消防安全责任、消防设施、火灾预防和事故处置底线</w:t>
            </w:r>
          </w:p>
        </w:tc>
      </w:tr>
      <w:tr>
        <w:tc>
          <w:tcPr>
            <w:tcW w:type="dxa" w:w="2880"/>
          </w:tcPr>
          <w:p>
            <w:r>
              <w:t>国家法律</w:t>
            </w:r>
          </w:p>
        </w:tc>
        <w:tc>
          <w:tcPr>
            <w:tcW w:type="dxa" w:w="2880"/>
          </w:tcPr>
          <w:p>
            <w:r>
              <w:t>《中华人民共和国特种设备安全法》</w:t>
            </w:r>
          </w:p>
        </w:tc>
        <w:tc>
          <w:tcPr>
            <w:tcW w:type="dxa" w:w="2880"/>
          </w:tcPr>
          <w:p>
            <w:r>
              <w:t>气瓶、压力容器、压力管道、充装活动的法定上位依据</w:t>
            </w:r>
          </w:p>
        </w:tc>
      </w:tr>
      <w:tr>
        <w:tc>
          <w:tcPr>
            <w:tcW w:type="dxa" w:w="2880"/>
          </w:tcPr>
          <w:p>
            <w:r>
              <w:t>国家行政法规</w:t>
            </w:r>
          </w:p>
        </w:tc>
        <w:tc>
          <w:tcPr>
            <w:tcW w:type="dxa" w:w="2880"/>
          </w:tcPr>
          <w:p>
            <w:r>
              <w:t>《城镇燃气管理条例》</w:t>
            </w:r>
          </w:p>
        </w:tc>
        <w:tc>
          <w:tcPr>
            <w:tcW w:type="dxa" w:w="2880"/>
          </w:tcPr>
          <w:p>
            <w:r>
              <w:t>燃气经营许可、经营服务、设施保护、燃气安全行政监管总框架</w:t>
            </w:r>
          </w:p>
        </w:tc>
      </w:tr>
      <w:tr>
        <w:tc>
          <w:tcPr>
            <w:tcW w:type="dxa" w:w="2880"/>
          </w:tcPr>
          <w:p>
            <w:r>
              <w:t>国家行政法规</w:t>
            </w:r>
          </w:p>
        </w:tc>
        <w:tc>
          <w:tcPr>
            <w:tcW w:type="dxa" w:w="2880"/>
          </w:tcPr>
          <w:p>
            <w:r>
              <w:t>《生产安全事故应急条例》</w:t>
            </w:r>
          </w:p>
        </w:tc>
        <w:tc>
          <w:tcPr>
            <w:tcW w:type="dxa" w:w="2880"/>
          </w:tcPr>
          <w:p>
            <w:r>
              <w:t>事故应急准备、响应、救援、报告、协调机制</w:t>
            </w:r>
          </w:p>
        </w:tc>
      </w:tr>
      <w:tr>
        <w:tc>
          <w:tcPr>
            <w:tcW w:type="dxa" w:w="2880"/>
          </w:tcPr>
          <w:p>
            <w:r>
              <w:t>地方性法规</w:t>
            </w:r>
          </w:p>
        </w:tc>
        <w:tc>
          <w:tcPr>
            <w:tcW w:type="dxa" w:w="2880"/>
          </w:tcPr>
          <w:p>
            <w:r>
              <w:t>《广西壮族自治区燃气管理条例》</w:t>
            </w:r>
          </w:p>
        </w:tc>
        <w:tc>
          <w:tcPr>
            <w:tcW w:type="dxa" w:w="2880"/>
          </w:tcPr>
          <w:p>
            <w:r>
              <w:t>广西属地化实施细则，突出实名购气、免费安检、报警切断、执法协同</w:t>
            </w:r>
          </w:p>
        </w:tc>
      </w:tr>
    </w:tbl>
    <w:p>
      <w:pPr>
        <w:pStyle w:val="Heading2"/>
      </w:pPr>
      <w:r>
        <w:t>二、工程建设层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文件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地位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在 LPG 行业中的作用</w:t>
            </w:r>
          </w:p>
        </w:tc>
      </w:tr>
      <w:tr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</w:t>
            </w:r>
          </w:p>
        </w:tc>
      </w:tr>
      <w:tr>
        <w:tc>
          <w:tcPr>
            <w:tcW w:type="dxa" w:w="2880"/>
          </w:tcPr>
          <w:p>
            <w:r>
              <w:t>`GB 51142-2015`</w:t>
            </w:r>
          </w:p>
        </w:tc>
        <w:tc>
          <w:tcPr>
            <w:tcW w:type="dxa" w:w="2880"/>
          </w:tcPr>
          <w:p>
            <w:r>
              <w:t>LPG 专项工程设计规范</w:t>
            </w:r>
          </w:p>
        </w:tc>
        <w:tc>
          <w:tcPr>
            <w:tcW w:type="dxa" w:w="2880"/>
          </w:tcPr>
          <w:p>
            <w:r>
              <w:t>站型、等级、选址、总图、瓶库、瓶组间、储罐区、工艺设备、报警系统的核心依据</w:t>
            </w:r>
          </w:p>
        </w:tc>
      </w:tr>
      <w:tr>
        <w:tc>
          <w:tcPr>
            <w:tcW w:type="dxa" w:w="2880"/>
          </w:tcPr>
          <w:p>
            <w:r>
              <w:t>`GB 55009-2021`</w:t>
            </w:r>
          </w:p>
        </w:tc>
        <w:tc>
          <w:tcPr>
            <w:tcW w:type="dxa" w:w="2880"/>
          </w:tcPr>
          <w:p>
            <w:r>
              <w:t>燃气工程项目强制性工程规范</w:t>
            </w:r>
          </w:p>
        </w:tc>
        <w:tc>
          <w:tcPr>
            <w:tcW w:type="dxa" w:w="2880"/>
          </w:tcPr>
          <w:p>
            <w:r>
              <w:t>工程项目层面的强制性底线，适合做重大隐患、设计审查、整改闭环的硬标准</w:t>
            </w:r>
          </w:p>
        </w:tc>
      </w:tr>
      <w:tr>
        <w:tc>
          <w:tcPr>
            <w:tcW w:type="dxa" w:w="2880"/>
          </w:tcPr>
          <w:p>
            <w:r>
              <w:t>`GB 55037-2022`</w:t>
            </w:r>
          </w:p>
        </w:tc>
        <w:tc>
          <w:tcPr>
            <w:tcW w:type="dxa" w:w="2880"/>
          </w:tcPr>
          <w:p>
            <w:r>
              <w:t>建筑防火通用规范</w:t>
            </w:r>
          </w:p>
        </w:tc>
        <w:tc>
          <w:tcPr>
            <w:tcW w:type="dxa" w:w="2880"/>
          </w:tcPr>
          <w:p>
            <w:r>
              <w:t>爆炸危险场所建筑防火、耐火、通风泄压、防火分隔等底线</w:t>
            </w:r>
          </w:p>
        </w:tc>
      </w:tr>
      <w:tr>
        <w:tc>
          <w:tcPr>
            <w:tcW w:type="dxa" w:w="2880"/>
          </w:tcPr>
          <w:p>
            <w:r>
              <w:t>`GB 50016`</w:t>
            </w:r>
          </w:p>
        </w:tc>
        <w:tc>
          <w:tcPr>
            <w:tcW w:type="dxa" w:w="2880"/>
          </w:tcPr>
          <w:p>
            <w:r>
              <w:t>建筑设计防火规范</w:t>
            </w:r>
          </w:p>
        </w:tc>
        <w:tc>
          <w:tcPr>
            <w:tcW w:type="dxa" w:w="2880"/>
          </w:tcPr>
          <w:p>
            <w:r>
              <w:t>具体建筑防火技术细节的重要补充</w:t>
            </w:r>
          </w:p>
        </w:tc>
      </w:tr>
    </w:tbl>
    <w:p>
      <w:pPr>
        <w:pStyle w:val="Heading2"/>
      </w:pPr>
      <w:r>
        <w:t>三、市场监管/特种设备层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文件</w:t>
            </w:r>
          </w:p>
        </w:tc>
        <w:tc>
          <w:tcPr>
            <w:tcW w:type="dxa" w:w="2880"/>
          </w:tcPr>
          <w:p>
            <w:r>
              <w:rPr>
                <w:b/>
              </w:rPr>
              <w:t>当前判断</w:t>
            </w:r>
          </w:p>
        </w:tc>
        <w:tc>
          <w:tcPr>
            <w:tcW w:type="dxa" w:w="2880"/>
          </w:tcPr>
          <w:p>
            <w:r>
              <w:rPr>
                <w:b/>
              </w:rPr>
              <w:t>主要关注点</w:t>
            </w:r>
          </w:p>
        </w:tc>
      </w:tr>
      <w:tr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</w:t>
            </w:r>
          </w:p>
        </w:tc>
        <w:tc>
          <w:tcPr>
            <w:tcW w:type="dxa" w:w="2880"/>
          </w:tcPr>
          <w:p>
            <w:r>
              <w:t>---</w:t>
            </w:r>
          </w:p>
        </w:tc>
      </w:tr>
      <w:tr>
        <w:tc>
          <w:tcPr>
            <w:tcW w:type="dxa" w:w="2880"/>
          </w:tcPr>
          <w:p>
            <w:r>
              <w:t>《中华人民共和国特种设备安全法》</w:t>
            </w:r>
          </w:p>
        </w:tc>
        <w:tc>
          <w:tcPr>
            <w:tcW w:type="dxa" w:w="2880"/>
          </w:tcPr>
          <w:p>
            <w:r>
              <w:t>现行有效</w:t>
            </w:r>
          </w:p>
        </w:tc>
        <w:tc>
          <w:tcPr>
            <w:tcW w:type="dxa" w:w="2880"/>
          </w:tcPr>
          <w:p>
            <w:r>
              <w:t>充装许可、使用登记、检验检测、违法责任</w:t>
            </w:r>
          </w:p>
        </w:tc>
      </w:tr>
      <w:tr>
        <w:tc>
          <w:tcPr>
            <w:tcW w:type="dxa" w:w="2880"/>
          </w:tcPr>
          <w:p>
            <w:r>
              <w:t>`TSG 07-2019`《特种设备生产和充装单位许可规则》</w:t>
            </w:r>
          </w:p>
        </w:tc>
        <w:tc>
          <w:tcPr>
            <w:tcW w:type="dxa" w:w="2880"/>
          </w:tcPr>
          <w:p>
            <w:r>
              <w:t>现行有效，且有 2021 修改单</w:t>
            </w:r>
          </w:p>
        </w:tc>
        <w:tc>
          <w:tcPr>
            <w:tcW w:type="dxa" w:w="2880"/>
          </w:tcPr>
          <w:p>
            <w:r>
              <w:t>谁能充装、充装单位许可条件、资源条件、质量保证体系</w:t>
            </w:r>
          </w:p>
        </w:tc>
      </w:tr>
      <w:tr>
        <w:tc>
          <w:tcPr>
            <w:tcW w:type="dxa" w:w="2880"/>
          </w:tcPr>
          <w:p>
            <w:r>
              <w:t>`TSG 23-2021`《气瓶安全技术规程》</w:t>
            </w:r>
          </w:p>
        </w:tc>
        <w:tc>
          <w:tcPr>
            <w:tcW w:type="dxa" w:w="2880"/>
          </w:tcPr>
          <w:p>
            <w:r>
              <w:t>截至 2026-04-21 为气瓶监管现行主规则，且有 2024 修改单自 2025-01-01 起施行</w:t>
            </w:r>
          </w:p>
        </w:tc>
        <w:tc>
          <w:tcPr>
            <w:tcW w:type="dxa" w:w="2880"/>
          </w:tcPr>
          <w:p>
            <w:r>
              <w:t>气瓶设计、制造、充装、检验、使用、报废全生命周期</w:t>
            </w:r>
          </w:p>
        </w:tc>
      </w:tr>
      <w:tr>
        <w:tc>
          <w:tcPr>
            <w:tcW w:type="dxa" w:w="2880"/>
          </w:tcPr>
          <w:p>
            <w:r>
              <w:t>`GB/T 5842-2023`《液化石油气钢瓶》</w:t>
            </w:r>
          </w:p>
        </w:tc>
        <w:tc>
          <w:tcPr>
            <w:tcW w:type="dxa" w:w="2880"/>
          </w:tcPr>
          <w:p>
            <w:r>
              <w:t>现行有效</w:t>
            </w:r>
          </w:p>
        </w:tc>
        <w:tc>
          <w:tcPr>
            <w:tcW w:type="dxa" w:w="2880"/>
          </w:tcPr>
          <w:p>
            <w:r>
              <w:t>LPG 钢瓶产品技术要求、结构、材料、标志、试验</w:t>
            </w:r>
          </w:p>
        </w:tc>
      </w:tr>
    </w:tbl>
    <w:p>
      <w:pPr>
        <w:pStyle w:val="Heading2"/>
      </w:pPr>
      <w:r>
        <w:t>四、应急/消防层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文件</w:t>
            </w:r>
          </w:p>
        </w:tc>
        <w:tc>
          <w:tcPr>
            <w:tcW w:type="dxa" w:w="4320"/>
          </w:tcPr>
          <w:p>
            <w:r>
              <w:rPr>
                <w:b/>
              </w:rPr>
              <w:t>主要作用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《中华人民共和国安全生产法》</w:t>
            </w:r>
          </w:p>
        </w:tc>
        <w:tc>
          <w:tcPr>
            <w:tcW w:type="dxa" w:w="4320"/>
          </w:tcPr>
          <w:p>
            <w:r>
              <w:t>定企业主体责任和安全管理总框架</w:t>
            </w:r>
          </w:p>
        </w:tc>
      </w:tr>
      <w:tr>
        <w:tc>
          <w:tcPr>
            <w:tcW w:type="dxa" w:w="4320"/>
          </w:tcPr>
          <w:p>
            <w:r>
              <w:t>《生产安全事故应急条例》</w:t>
            </w:r>
          </w:p>
        </w:tc>
        <w:tc>
          <w:tcPr>
            <w:tcW w:type="dxa" w:w="4320"/>
          </w:tcPr>
          <w:p>
            <w:r>
              <w:t>定应急准备、应急响应、事故报告和救援秩序</w:t>
            </w:r>
          </w:p>
        </w:tc>
      </w:tr>
      <w:tr>
        <w:tc>
          <w:tcPr>
            <w:tcW w:type="dxa" w:w="4320"/>
          </w:tcPr>
          <w:p>
            <w:r>
              <w:t>《生产安全事故应急预案管理办法》</w:t>
            </w:r>
          </w:p>
        </w:tc>
        <w:tc>
          <w:tcPr>
            <w:tcW w:type="dxa" w:w="4320"/>
          </w:tcPr>
          <w:p>
            <w:r>
              <w:t>定预案编制、评审、备案、培训、演练和修订</w:t>
            </w:r>
          </w:p>
        </w:tc>
      </w:tr>
      <w:tr>
        <w:tc>
          <w:tcPr>
            <w:tcW w:type="dxa" w:w="4320"/>
          </w:tcPr>
          <w:p>
            <w:r>
              <w:t>`GB/T 29639-2020`</w:t>
            </w:r>
          </w:p>
        </w:tc>
        <w:tc>
          <w:tcPr>
            <w:tcW w:type="dxa" w:w="4320"/>
          </w:tcPr>
          <w:p>
            <w:r>
              <w:t>应急预案编制导则</w:t>
            </w:r>
          </w:p>
        </w:tc>
      </w:tr>
      <w:tr>
        <w:tc>
          <w:tcPr>
            <w:tcW w:type="dxa" w:w="4320"/>
          </w:tcPr>
          <w:p>
            <w:r>
              <w:t>`AQ/T 9007-2019`</w:t>
            </w:r>
          </w:p>
        </w:tc>
        <w:tc>
          <w:tcPr>
            <w:tcW w:type="dxa" w:w="4320"/>
          </w:tcPr>
          <w:p>
            <w:r>
              <w:t>应急演练基本规范</w:t>
            </w:r>
          </w:p>
        </w:tc>
      </w:tr>
    </w:tbl>
    <w:p>
      <w:pPr>
        <w:pStyle w:val="Heading2"/>
      </w:pPr>
      <w:r>
        <w:t>五、治理政策与终端服务层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文件</w:t>
            </w:r>
          </w:p>
        </w:tc>
        <w:tc>
          <w:tcPr>
            <w:tcW w:type="dxa" w:w="4320"/>
          </w:tcPr>
          <w:p>
            <w:r>
              <w:rPr>
                <w:b/>
              </w:rPr>
              <w:t>当前作用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《城镇燃气经营安全重大隐患判定标准》</w:t>
            </w:r>
          </w:p>
        </w:tc>
        <w:tc>
          <w:tcPr>
            <w:tcW w:type="dxa" w:w="4320"/>
          </w:tcPr>
          <w:p>
            <w:r>
              <w:t>把检查语言、隐患语言、整改语言统一到一套判定框架里，是检查案例库和违规匹配库的重要底座</w:t>
            </w:r>
          </w:p>
        </w:tc>
      </w:tr>
      <w:tr>
        <w:tc>
          <w:tcPr>
            <w:tcW w:type="dxa" w:w="4320"/>
          </w:tcPr>
          <w:p>
            <w:r>
              <w:t>《全国城镇燃气安全专项整治工作方案》</w:t>
            </w:r>
          </w:p>
        </w:tc>
        <w:tc>
          <w:tcPr>
            <w:tcW w:type="dxa" w:w="4320"/>
          </w:tcPr>
          <w:p>
            <w:r>
              <w:t>代表 2023 年以后全国燃气治理重点从场站延伸到用户端、餐饮场所、瓶灶管阀和报警切断</w:t>
            </w:r>
          </w:p>
        </w:tc>
      </w:tr>
      <w:tr>
        <w:tc>
          <w:tcPr>
            <w:tcW w:type="dxa" w:w="4320"/>
          </w:tcPr>
          <w:p>
            <w:r>
              <w:t>《关于加强瓶装液化石油气安全管理的指导意见》</w:t>
            </w:r>
          </w:p>
        </w:tc>
        <w:tc>
          <w:tcPr>
            <w:tcW w:type="dxa" w:w="4320"/>
          </w:tcPr>
          <w:p>
            <w:r>
              <w:t>代表瓶装液化石油气从经营管理走向多部门协同、实名追溯、统一配送和用户侧治理</w:t>
            </w:r>
          </w:p>
        </w:tc>
      </w:tr>
      <w:tr>
        <w:tc>
          <w:tcPr>
            <w:tcW w:type="dxa" w:w="4320"/>
          </w:tcPr>
          <w:p>
            <w:r>
              <w:t>《燃气经营许可管理办法》</w:t>
            </w:r>
          </w:p>
        </w:tc>
        <w:tc>
          <w:tcPr>
            <w:tcW w:type="dxa" w:w="4320"/>
          </w:tcPr>
          <w:p>
            <w:r>
              <w:t>解决经营许可边界、申领、变更、延续等问题</w:t>
            </w:r>
          </w:p>
        </w:tc>
      </w:tr>
      <w:tr>
        <w:tc>
          <w:tcPr>
            <w:tcW w:type="dxa" w:w="4320"/>
          </w:tcPr>
          <w:p>
            <w:r>
              <w:t>《燃气经营企业从业人员专业培训考核管理办法》</w:t>
            </w:r>
          </w:p>
        </w:tc>
        <w:tc>
          <w:tcPr>
            <w:tcW w:type="dxa" w:w="4320"/>
          </w:tcPr>
          <w:p>
            <w:r>
              <w:t>解决从业人员培训与考核管理边界</w:t>
            </w:r>
          </w:p>
        </w:tc>
      </w:tr>
      <w:tr>
        <w:tc>
          <w:tcPr>
            <w:tcW w:type="dxa" w:w="4320"/>
          </w:tcPr>
          <w:p>
            <w:r>
              <w:t>`CJJ/T 146`《城镇燃气报警控制系统技术规程》</w:t>
            </w:r>
          </w:p>
        </w:tc>
        <w:tc>
          <w:tcPr>
            <w:tcW w:type="dxa" w:w="4320"/>
          </w:tcPr>
          <w:p>
            <w:r>
              <w:t>应纳入报警控制与联动治理层，但目前原文级整理仍待补</w:t>
            </w:r>
          </w:p>
        </w:tc>
      </w:tr>
      <w:tr>
        <w:tc>
          <w:tcPr>
            <w:tcW w:type="dxa" w:w="4320"/>
          </w:tcPr>
          <w:p>
            <w:r>
              <w:t>瓶装供应站条件层</w:t>
            </w:r>
          </w:p>
        </w:tc>
        <w:tc>
          <w:tcPr>
            <w:tcW w:type="dxa" w:w="4320"/>
          </w:tcPr>
          <w:p>
            <w:r>
              <w:t>当前稳定依据应优先回到 `GB 51142-2015` 第 8 章、广西条例和专项整治要求；此前把 `CJJ/T 202` 误写成瓶装供应站标准的旧整理口径，本轮已撤回</w:t>
            </w:r>
          </w:p>
        </w:tc>
      </w:tr>
    </w:tbl>
    <w:p>
      <w:pPr>
        <w:pStyle w:val="Heading2"/>
      </w:pPr>
      <w:r>
        <w:t>六、场景到法规的快速映射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</w:rPr>
              <w:t>场景</w:t>
            </w:r>
          </w:p>
        </w:tc>
        <w:tc>
          <w:tcPr>
            <w:tcW w:type="dxa" w:w="4320"/>
          </w:tcPr>
          <w:p>
            <w:r>
              <w:rPr>
                <w:b/>
              </w:rPr>
              <w:t>优先看什么</w:t>
            </w:r>
          </w:p>
        </w:tc>
      </w:tr>
      <w:tr>
        <w:tc>
          <w:tcPr>
            <w:tcW w:type="dxa" w:w="4320"/>
          </w:tcPr>
          <w:p>
            <w:r>
              <w:t>---</w:t>
            </w:r>
          </w:p>
        </w:tc>
        <w:tc>
          <w:tcPr>
            <w:tcW w:type="dxa" w:w="4320"/>
          </w:tcPr>
          <w:p>
            <w:r>
              <w:t>---</w:t>
            </w:r>
          </w:p>
        </w:tc>
      </w:tr>
      <w:tr>
        <w:tc>
          <w:tcPr>
            <w:tcW w:type="dxa" w:w="4320"/>
          </w:tcPr>
          <w:p>
            <w:r>
              <w:t>站址能不能批、能不能建</w:t>
            </w:r>
          </w:p>
        </w:tc>
        <w:tc>
          <w:tcPr>
            <w:tcW w:type="dxa" w:w="4320"/>
          </w:tcPr>
          <w:p>
            <w:r>
              <w:t>`GB 51142` 第 3、5、6、7、8 章 + 地方规划</w:t>
            </w:r>
          </w:p>
        </w:tc>
      </w:tr>
      <w:tr>
        <w:tc>
          <w:tcPr>
            <w:tcW w:type="dxa" w:w="4320"/>
          </w:tcPr>
          <w:p>
            <w:r>
              <w:t>厂站防火间距够不够</w:t>
            </w:r>
          </w:p>
        </w:tc>
        <w:tc>
          <w:tcPr>
            <w:tcW w:type="dxa" w:w="4320"/>
          </w:tcPr>
          <w:p>
            <w:r>
              <w:t>`GB 51142` 相关表格 + `GB 55037`</w:t>
            </w:r>
          </w:p>
        </w:tc>
      </w:tr>
      <w:tr>
        <w:tc>
          <w:tcPr>
            <w:tcW w:type="dxa" w:w="4320"/>
          </w:tcPr>
          <w:p>
            <w:r>
              <w:t>生产区能不能建地下空间</w:t>
            </w:r>
          </w:p>
        </w:tc>
        <w:tc>
          <w:tcPr>
            <w:tcW w:type="dxa" w:w="4320"/>
          </w:tcPr>
          <w:p>
            <w:r>
              <w:t>`GB 51142` `5.2.4`</w:t>
            </w:r>
          </w:p>
        </w:tc>
      </w:tr>
      <w:tr>
        <w:tc>
          <w:tcPr>
            <w:tcW w:type="dxa" w:w="4320"/>
          </w:tcPr>
          <w:p>
            <w:r>
              <w:t>瓶组间能不能放地下室</w:t>
            </w:r>
          </w:p>
        </w:tc>
        <w:tc>
          <w:tcPr>
            <w:tcW w:type="dxa" w:w="4320"/>
          </w:tcPr>
          <w:p>
            <w:r>
              <w:t>`GB 51142` `7.0.5` + 广西条例第 `38` 条</w:t>
            </w:r>
          </w:p>
        </w:tc>
      </w:tr>
      <w:tr>
        <w:tc>
          <w:tcPr>
            <w:tcW w:type="dxa" w:w="4320"/>
          </w:tcPr>
          <w:p>
            <w:r>
              <w:t>瓶装供应站怎么分级</w:t>
            </w:r>
          </w:p>
        </w:tc>
        <w:tc>
          <w:tcPr>
            <w:tcW w:type="dxa" w:w="4320"/>
          </w:tcPr>
          <w:p>
            <w:r>
              <w:t>`GB 51142` `8.0.1`</w:t>
            </w:r>
          </w:p>
        </w:tc>
      </w:tr>
      <w:tr>
        <w:tc>
          <w:tcPr>
            <w:tcW w:type="dxa" w:w="4320"/>
          </w:tcPr>
          <w:p>
            <w:r>
              <w:t>气瓶能不能充、能不能用</w:t>
            </w:r>
          </w:p>
        </w:tc>
        <w:tc>
          <w:tcPr>
            <w:tcW w:type="dxa" w:w="4320"/>
          </w:tcPr>
          <w:p>
            <w:r>
              <w:t>`TSG 23-2021` + `GB/T 5842-2023` + 广西条例第 `27`、`28` 条</w:t>
            </w:r>
          </w:p>
        </w:tc>
      </w:tr>
      <w:tr>
        <w:tc>
          <w:tcPr>
            <w:tcW w:type="dxa" w:w="4320"/>
          </w:tcPr>
          <w:p>
            <w:r>
              <w:t>充装单位是否具备资格</w:t>
            </w:r>
          </w:p>
        </w:tc>
        <w:tc>
          <w:tcPr>
            <w:tcW w:type="dxa" w:w="4320"/>
          </w:tcPr>
          <w:p>
            <w:r>
              <w:t>《特种设备安全法》 + `TSG 07-2019`</w:t>
            </w:r>
          </w:p>
        </w:tc>
      </w:tr>
      <w:tr>
        <w:tc>
          <w:tcPr>
            <w:tcW w:type="dxa" w:w="4320"/>
          </w:tcPr>
          <w:p>
            <w:r>
              <w:t>用户侧安检怎么做</w:t>
            </w:r>
          </w:p>
        </w:tc>
        <w:tc>
          <w:tcPr>
            <w:tcW w:type="dxa" w:w="4320"/>
          </w:tcPr>
          <w:p>
            <w:r>
              <w:t>广西条例第 `25` 条 + 企业制度</w:t>
            </w:r>
          </w:p>
        </w:tc>
      </w:tr>
      <w:tr>
        <w:tc>
          <w:tcPr>
            <w:tcW w:type="dxa" w:w="4320"/>
          </w:tcPr>
          <w:p>
            <w:r>
              <w:t>餐饮场所报警切断是否必装</w:t>
            </w:r>
          </w:p>
        </w:tc>
        <w:tc>
          <w:tcPr>
            <w:tcW w:type="dxa" w:w="4320"/>
          </w:tcPr>
          <w:p>
            <w:r>
              <w:t>广西条例第 `37`、`55` 条</w:t>
            </w:r>
          </w:p>
        </w:tc>
      </w:tr>
      <w:tr>
        <w:tc>
          <w:tcPr>
            <w:tcW w:type="dxa" w:w="4320"/>
          </w:tcPr>
          <w:p>
            <w:r>
              <w:t>当前监管重点到底查什么</w:t>
            </w:r>
          </w:p>
        </w:tc>
        <w:tc>
          <w:tcPr>
            <w:tcW w:type="dxa" w:w="4320"/>
          </w:tcPr>
          <w:p>
            <w:r>
              <w:t>重大隐患判定标准 + 全国专项整治方案 + 广西住建专项整治落实</w:t>
            </w:r>
          </w:p>
        </w:tc>
      </w:tr>
      <w:tr>
        <w:tc>
          <w:tcPr>
            <w:tcW w:type="dxa" w:w="4320"/>
          </w:tcPr>
          <w:p>
            <w:r>
              <w:t>应急预案是否合规</w:t>
            </w:r>
          </w:p>
        </w:tc>
        <w:tc>
          <w:tcPr>
            <w:tcW w:type="dxa" w:w="4320"/>
          </w:tcPr>
          <w:p>
            <w:r>
              <w:t>《应急条例》 + 《应急预案管理办法》 + `GB/T 29639-2020`</w:t>
            </w:r>
          </w:p>
        </w:tc>
      </w:tr>
    </w:tbl>
    <w:p>
      <w:pPr>
        <w:pStyle w:val="Heading2"/>
      </w:pPr>
      <w:r>
        <w:t>七、现行与历史参考的边界</w:t>
      </w:r>
    </w:p>
    <w:p>
      <w:pPr>
        <w:pStyle w:val="ListBullet"/>
      </w:pPr>
      <w:r>
        <w:rPr>
          <w:rFonts w:ascii="Menlo" w:hAnsi="Menlo" w:eastAsia="Menlo"/>
        </w:rPr>
        <w:t>TSG R0006-2014</w:t>
      </w:r>
      <w:r>
        <w:t xml:space="preserve"> 在你的本地资料中仍有痕迹，但从现行使用角度，应优先以 </w:t>
      </w:r>
      <w:r>
        <w:rPr>
          <w:rFonts w:ascii="Menlo" w:hAnsi="Menlo" w:eastAsia="Menlo"/>
        </w:rPr>
        <w:t>TSG 23-2021</w:t>
      </w:r>
      <w:r>
        <w:t xml:space="preserve"> 及其修改单为准。</w:t>
      </w:r>
    </w:p>
    <w:p>
      <w:pPr>
        <w:pStyle w:val="ListBullet"/>
      </w:pPr>
      <w:r>
        <w:rPr>
          <w:rFonts w:ascii="Menlo" w:hAnsi="Menlo" w:eastAsia="Menlo"/>
        </w:rPr>
        <w:t>GB 50028-2006</w:t>
      </w:r>
      <w:r>
        <w:t xml:space="preserve"> 中 LPG 章节已被 </w:t>
      </w:r>
      <w:r>
        <w:rPr>
          <w:rFonts w:ascii="Menlo" w:hAnsi="Menlo" w:eastAsia="Menlo"/>
        </w:rPr>
        <w:t>GB 51142-2015</w:t>
      </w:r>
      <w:r>
        <w:t xml:space="preserve"> 替代，不应再把老章节当作现行 LPG 专项主依据。</w:t>
      </w:r>
    </w:p>
    <w:p>
      <w:pPr>
        <w:pStyle w:val="ListBullet"/>
      </w:pPr>
      <w:r>
        <w:t xml:space="preserve">本轮在线检索未能确认“瓶装燃气服务规范 = </w:t>
      </w:r>
      <w:r>
        <w:rPr>
          <w:rFonts w:ascii="Menlo" w:hAnsi="Menlo" w:eastAsia="Menlo"/>
        </w:rPr>
        <w:t>GB/T 35432-2017</w:t>
      </w:r>
      <w:r>
        <w:t>”这一写法，因此当前知识库已不再把该标准号当作现行已核定依据引用。</w:t>
      </w:r>
    </w:p>
    <w:p>
      <w:pPr>
        <w:pStyle w:val="ListBullet"/>
      </w:pPr>
      <w:r>
        <w:t xml:space="preserve">本轮在线核对发现 </w:t>
      </w:r>
      <w:r>
        <w:rPr>
          <w:rFonts w:ascii="Menlo" w:hAnsi="Menlo" w:eastAsia="Menlo"/>
        </w:rPr>
        <w:t>CJJ/T 202-2013</w:t>
      </w:r>
      <w:r>
        <w:t xml:space="preserve"> 的公开稳定对应主题为《城市轨道交通结构安全保护技术规范》，并非瓶装供应站标准，因此知识库已撤回这一旧错引。</w:t>
      </w:r>
    </w:p>
    <w:p>
      <w:pPr>
        <w:pStyle w:val="ListBullet"/>
      </w:pPr>
      <w:r>
        <w:t>本地若出现无法确认来源、提取乱码或内容疑似网页转存的 PDF，应仅作线索，不直接作为定性依据。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 w:eastAsia="Microsoft YaHei"/>
      <w:sz w:val="21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