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01-监管框架总览</w:t>
      </w:r>
    </w:p>
    <w:p>
      <w:r/>
    </w:p>
    <w:p>
      <w:pPr>
        <w:pStyle w:val="Heading1"/>
      </w:pPr>
      <w:r>
        <w:t>监管框架总览</w:t>
      </w:r>
    </w:p>
    <w:p>
      <w:r>
        <w:t>更新时间：2026-04-21</w:t>
      </w:r>
    </w:p>
    <w:p>
      <w:pPr>
        <w:pStyle w:val="Heading2"/>
      </w:pPr>
      <w:r>
        <w:t>一张图看清 LPG 行业监管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条线</w:t>
            </w:r>
          </w:p>
        </w:tc>
        <w:tc>
          <w:tcPr>
            <w:tcW w:type="dxa" w:w="2160"/>
          </w:tcPr>
          <w:p>
            <w:r>
              <w:rPr>
                <w:b/>
              </w:rPr>
              <w:t>谁是主线部门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管什么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典型依据</w:t>
            </w:r>
          </w:p>
        </w:tc>
      </w:tr>
      <w:tr>
        <w:tc>
          <w:tcPr>
            <w:tcW w:type="dxa" w:w="2160"/>
          </w:tcPr>
          <w:p>
            <w:r>
              <w:t>---</w:t>
            </w:r>
          </w:p>
        </w:tc>
        <w:tc>
          <w:tcPr>
            <w:tcW w:type="dxa" w:w="2160"/>
          </w:tcPr>
          <w:p>
            <w:r>
              <w:t>---</w:t>
            </w:r>
          </w:p>
        </w:tc>
        <w:tc>
          <w:tcPr>
            <w:tcW w:type="dxa" w:w="2160"/>
          </w:tcPr>
          <w:p>
            <w:r>
              <w:t>---</w:t>
            </w:r>
          </w:p>
        </w:tc>
        <w:tc>
          <w:tcPr>
            <w:tcW w:type="dxa" w:w="2160"/>
          </w:tcPr>
          <w:p>
            <w:r>
              <w:t>---</w:t>
            </w:r>
          </w:p>
        </w:tc>
      </w:tr>
      <w:tr>
        <w:tc>
          <w:tcPr>
            <w:tcW w:type="dxa" w:w="2160"/>
          </w:tcPr>
          <w:p>
            <w:r>
              <w:t>住建/燃气主管部门</w:t>
            </w:r>
          </w:p>
        </w:tc>
        <w:tc>
          <w:tcPr>
            <w:tcW w:type="dxa" w:w="2160"/>
          </w:tcPr>
          <w:p>
            <w:r>
              <w:t>住建部门或地方确定的燃气管理部门</w:t>
            </w:r>
          </w:p>
        </w:tc>
        <w:tc>
          <w:tcPr>
            <w:tcW w:type="dxa" w:w="2160"/>
          </w:tcPr>
          <w:p>
            <w:r>
              <w:t>行业规划、工程建设、燃气经营许可、经营服务、设施保护、用户安全检查、重大隐患整治</w:t>
            </w:r>
          </w:p>
        </w:tc>
        <w:tc>
          <w:tcPr>
            <w:tcW w:type="dxa" w:w="2160"/>
          </w:tcPr>
          <w:p>
            <w:r>
              <w:t>`GB 51142-2015`、`GB 55009-2021`、《城镇燃气管理条例》、《广西壮族自治区燃气管理条例》</w:t>
            </w:r>
          </w:p>
        </w:tc>
      </w:tr>
      <w:tr>
        <w:tc>
          <w:tcPr>
            <w:tcW w:type="dxa" w:w="2160"/>
          </w:tcPr>
          <w:p>
            <w:r>
              <w:t>市场监管</w:t>
            </w:r>
          </w:p>
        </w:tc>
        <w:tc>
          <w:tcPr>
            <w:tcW w:type="dxa" w:w="2160"/>
          </w:tcPr>
          <w:p>
            <w:r>
              <w:t>市场监管部门、特种设备监察机构</w:t>
            </w:r>
          </w:p>
        </w:tc>
        <w:tc>
          <w:tcPr>
            <w:tcW w:type="dxa" w:w="2160"/>
          </w:tcPr>
          <w:p>
            <w:r>
              <w:t>气瓶、压力容器、压力管道、充装许可、使用登记、检验检测、充装单位主体责任</w:t>
            </w:r>
          </w:p>
        </w:tc>
        <w:tc>
          <w:tcPr>
            <w:tcW w:type="dxa" w:w="2160"/>
          </w:tcPr>
          <w:p>
            <w:r>
              <w:t>《特种设备安全法》、`TSG 07-2019`、`TSG 23-2021`、`GB/T 5842-2023`</w:t>
            </w:r>
          </w:p>
        </w:tc>
      </w:tr>
      <w:tr>
        <w:tc>
          <w:tcPr>
            <w:tcW w:type="dxa" w:w="2160"/>
          </w:tcPr>
          <w:p>
            <w:r>
              <w:t>应急管理</w:t>
            </w:r>
          </w:p>
        </w:tc>
        <w:tc>
          <w:tcPr>
            <w:tcW w:type="dxa" w:w="2160"/>
          </w:tcPr>
          <w:p>
            <w:r>
              <w:t>应急管理部门</w:t>
            </w:r>
          </w:p>
        </w:tc>
        <w:tc>
          <w:tcPr>
            <w:tcW w:type="dxa" w:w="2160"/>
          </w:tcPr>
          <w:p>
            <w:r>
              <w:t>企业主体责任、双重预防、事故报告、应急预案、演练、事故调查配合</w:t>
            </w:r>
          </w:p>
        </w:tc>
        <w:tc>
          <w:tcPr>
            <w:tcW w:type="dxa" w:w="2160"/>
          </w:tcPr>
          <w:p>
            <w:r>
              <w:t>《安全生产法》、《生产安全事故应急条例》、《生产安全事故应急预案管理办法》</w:t>
            </w:r>
          </w:p>
        </w:tc>
      </w:tr>
      <w:tr>
        <w:tc>
          <w:tcPr>
            <w:tcW w:type="dxa" w:w="2160"/>
          </w:tcPr>
          <w:p>
            <w:r>
              <w:t>消防救援</w:t>
            </w:r>
          </w:p>
        </w:tc>
        <w:tc>
          <w:tcPr>
            <w:tcW w:type="dxa" w:w="2160"/>
          </w:tcPr>
          <w:p>
            <w:r>
              <w:t>消防救援机构</w:t>
            </w:r>
          </w:p>
        </w:tc>
        <w:tc>
          <w:tcPr>
            <w:tcW w:type="dxa" w:w="2160"/>
          </w:tcPr>
          <w:p>
            <w:r>
              <w:t>火灾风险防控、消防设施、疏散救援、火灾事故处置</w:t>
            </w:r>
          </w:p>
        </w:tc>
        <w:tc>
          <w:tcPr>
            <w:tcW w:type="dxa" w:w="2160"/>
          </w:tcPr>
          <w:p>
            <w:r>
              <w:t>《消防法》、`GB 55037-2022`、`GB 50016`</w:t>
            </w:r>
          </w:p>
        </w:tc>
      </w:tr>
      <w:tr>
        <w:tc>
          <w:tcPr>
            <w:tcW w:type="dxa" w:w="2160"/>
          </w:tcPr>
          <w:p>
            <w:r>
              <w:t>广西属地协同</w:t>
            </w:r>
          </w:p>
        </w:tc>
        <w:tc>
          <w:tcPr>
            <w:tcW w:type="dxa" w:w="2160"/>
          </w:tcPr>
          <w:p>
            <w:r>
              <w:t>广西住建 + 市县政府 + 多部门联动</w:t>
            </w:r>
          </w:p>
        </w:tc>
        <w:tc>
          <w:tcPr>
            <w:tcW w:type="dxa" w:w="2160"/>
          </w:tcPr>
          <w:p>
            <w:r>
              <w:t>地方许可、实名购气、入户安检、报警切断、燃气安全平台、联合执法</w:t>
            </w:r>
          </w:p>
        </w:tc>
        <w:tc>
          <w:tcPr>
            <w:tcW w:type="dxa" w:w="2160"/>
          </w:tcPr>
          <w:p>
            <w:r>
              <w:t>《广西壮族自治区燃气管理条例》、广西住建厅相关风险分级/排查整治文件</w:t>
            </w:r>
          </w:p>
        </w:tc>
      </w:tr>
    </w:tbl>
    <w:p>
      <w:pPr>
        <w:pStyle w:val="Heading2"/>
      </w:pPr>
      <w:r>
        <w:t>按生命周期理解法规链条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环节</w:t>
            </w:r>
          </w:p>
        </w:tc>
        <w:tc>
          <w:tcPr>
            <w:tcW w:type="dxa" w:w="2160"/>
          </w:tcPr>
          <w:p>
            <w:r>
              <w:rPr>
                <w:b/>
              </w:rPr>
              <w:t>首先看什么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再看什么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现场/资料重点</w:t>
            </w:r>
          </w:p>
        </w:tc>
      </w:tr>
      <w:tr>
        <w:tc>
          <w:tcPr>
            <w:tcW w:type="dxa" w:w="2160"/>
          </w:tcPr>
          <w:p>
            <w:r>
              <w:t>---</w:t>
            </w:r>
          </w:p>
        </w:tc>
        <w:tc>
          <w:tcPr>
            <w:tcW w:type="dxa" w:w="2160"/>
          </w:tcPr>
          <w:p>
            <w:r>
              <w:t>---</w:t>
            </w:r>
          </w:p>
        </w:tc>
        <w:tc>
          <w:tcPr>
            <w:tcW w:type="dxa" w:w="2160"/>
          </w:tcPr>
          <w:p>
            <w:r>
              <w:t>---</w:t>
            </w:r>
          </w:p>
        </w:tc>
        <w:tc>
          <w:tcPr>
            <w:tcW w:type="dxa" w:w="2160"/>
          </w:tcPr>
          <w:p>
            <w:r>
              <w:t>---</w:t>
            </w:r>
          </w:p>
        </w:tc>
      </w:tr>
      <w:tr>
        <w:tc>
          <w:tcPr>
            <w:tcW w:type="dxa" w:w="2160"/>
          </w:tcPr>
          <w:p>
            <w:r>
              <w:t>规划与选址</w:t>
            </w:r>
          </w:p>
        </w:tc>
        <w:tc>
          <w:tcPr>
            <w:tcW w:type="dxa" w:w="2160"/>
          </w:tcPr>
          <w:p>
            <w:r>
              <w:t>燃气发展规划、国土空间规划</w:t>
            </w:r>
          </w:p>
        </w:tc>
        <w:tc>
          <w:tcPr>
            <w:tcW w:type="dxa" w:w="2160"/>
          </w:tcPr>
          <w:p>
            <w:r>
              <w:t>`GB 51142` 第 3 章、第 5 章</w:t>
            </w:r>
          </w:p>
        </w:tc>
        <w:tc>
          <w:tcPr>
            <w:tcW w:type="dxa" w:w="2160"/>
          </w:tcPr>
          <w:p>
            <w:r>
              <w:t>能不能建、建在哪、是否进入城市中心城区、是否远离人员密集场所</w:t>
            </w:r>
          </w:p>
        </w:tc>
      </w:tr>
      <w:tr>
        <w:tc>
          <w:tcPr>
            <w:tcW w:type="dxa" w:w="2160"/>
          </w:tcPr>
          <w:p>
            <w:r>
              <w:t>设计与建设</w:t>
            </w:r>
          </w:p>
        </w:tc>
        <w:tc>
          <w:tcPr>
            <w:tcW w:type="dxa" w:w="2160"/>
          </w:tcPr>
          <w:p>
            <w:r>
              <w:t>`GB 51142`、`GB 55009`、`GB 55037`</w:t>
            </w:r>
          </w:p>
        </w:tc>
        <w:tc>
          <w:tcPr>
            <w:tcW w:type="dxa" w:w="2160"/>
          </w:tcPr>
          <w:p>
            <w:r>
              <w:t>`GB 50016`、相关专项规范</w:t>
            </w:r>
          </w:p>
        </w:tc>
        <w:tc>
          <w:tcPr>
            <w:tcW w:type="dxa" w:w="2160"/>
          </w:tcPr>
          <w:p>
            <w:r>
              <w:t>站内分区、防火间距、消防车道、地下半地下禁设、通风泄压、防雷防静电</w:t>
            </w:r>
          </w:p>
        </w:tc>
      </w:tr>
      <w:tr>
        <w:tc>
          <w:tcPr>
            <w:tcW w:type="dxa" w:w="2160"/>
          </w:tcPr>
          <w:p>
            <w:r>
              <w:t>经营许可</w:t>
            </w:r>
          </w:p>
        </w:tc>
        <w:tc>
          <w:tcPr>
            <w:tcW w:type="dxa" w:w="2160"/>
          </w:tcPr>
          <w:p>
            <w:r>
              <w:t>《城镇燃气管理条例》、地方燃气条例</w:t>
            </w:r>
          </w:p>
        </w:tc>
        <w:tc>
          <w:tcPr>
            <w:tcW w:type="dxa" w:w="2160"/>
          </w:tcPr>
          <w:p>
            <w:r>
              <w:t>燃气经营许可规则、特许经营规则</w:t>
            </w:r>
          </w:p>
        </w:tc>
        <w:tc>
          <w:tcPr>
            <w:tcW w:type="dxa" w:w="2160"/>
          </w:tcPr>
          <w:p>
            <w:r>
              <w:t>是否依法取得燃气经营许可，许可类别、区域、规模是否匹配</w:t>
            </w:r>
          </w:p>
        </w:tc>
      </w:tr>
      <w:tr>
        <w:tc>
          <w:tcPr>
            <w:tcW w:type="dxa" w:w="2160"/>
          </w:tcPr>
          <w:p>
            <w:r>
              <w:t>充装与气瓶管理</w:t>
            </w:r>
          </w:p>
        </w:tc>
        <w:tc>
          <w:tcPr>
            <w:tcW w:type="dxa" w:w="2160"/>
          </w:tcPr>
          <w:p>
            <w:r>
              <w:t>特种设备法律法规</w:t>
            </w:r>
          </w:p>
        </w:tc>
        <w:tc>
          <w:tcPr>
            <w:tcW w:type="dxa" w:w="2160"/>
          </w:tcPr>
          <w:p>
            <w:r>
              <w:t>`TSG 07-2019`、`TSG 23-2021`、`GB/T 5842-2023`</w:t>
            </w:r>
          </w:p>
        </w:tc>
        <w:tc>
          <w:tcPr>
            <w:tcW w:type="dxa" w:w="2160"/>
          </w:tcPr>
          <w:p>
            <w:r>
              <w:t>气瓶来源、定检、报废、充装追溯、残液处理、充装标识</w:t>
            </w:r>
          </w:p>
        </w:tc>
      </w:tr>
      <w:tr>
        <w:tc>
          <w:tcPr>
            <w:tcW w:type="dxa" w:w="2160"/>
          </w:tcPr>
          <w:p>
            <w:r>
              <w:t>配送与用户服务</w:t>
            </w:r>
          </w:p>
        </w:tc>
        <w:tc>
          <w:tcPr>
            <w:tcW w:type="dxa" w:w="2160"/>
          </w:tcPr>
          <w:p>
            <w:r>
              <w:t>广西条例、服务规范</w:t>
            </w:r>
          </w:p>
        </w:tc>
        <w:tc>
          <w:tcPr>
            <w:tcW w:type="dxa" w:w="2160"/>
          </w:tcPr>
          <w:p>
            <w:r>
              <w:t>企业制度、合同约定</w:t>
            </w:r>
          </w:p>
        </w:tc>
        <w:tc>
          <w:tcPr>
            <w:tcW w:type="dxa" w:w="2160"/>
          </w:tcPr>
          <w:p>
            <w:r>
              <w:t>实名购气、配送车辆、免费入户安检、隐患告知、暂停/恢复供气程序</w:t>
            </w:r>
          </w:p>
        </w:tc>
      </w:tr>
      <w:tr>
        <w:tc>
          <w:tcPr>
            <w:tcW w:type="dxa" w:w="2160"/>
          </w:tcPr>
          <w:p>
            <w:r>
              <w:t>运行维护</w:t>
            </w:r>
          </w:p>
        </w:tc>
        <w:tc>
          <w:tcPr>
            <w:tcW w:type="dxa" w:w="2160"/>
          </w:tcPr>
          <w:p>
            <w:r>
              <w:t>`GB 55009`、企业制度</w:t>
            </w:r>
          </w:p>
        </w:tc>
        <w:tc>
          <w:tcPr>
            <w:tcW w:type="dxa" w:w="2160"/>
          </w:tcPr>
          <w:p>
            <w:r>
              <w:t>巡检、保养、台账制度</w:t>
            </w:r>
          </w:p>
        </w:tc>
        <w:tc>
          <w:tcPr>
            <w:tcW w:type="dxa" w:w="2160"/>
          </w:tcPr>
          <w:p>
            <w:r>
              <w:t>巡检频次、报警系统、视频监控、检维修、档案闭环</w:t>
            </w:r>
          </w:p>
        </w:tc>
      </w:tr>
      <w:tr>
        <w:tc>
          <w:tcPr>
            <w:tcW w:type="dxa" w:w="2160"/>
          </w:tcPr>
          <w:p>
            <w:r>
              <w:t>应急处置</w:t>
            </w:r>
          </w:p>
        </w:tc>
        <w:tc>
          <w:tcPr>
            <w:tcW w:type="dxa" w:w="2160"/>
          </w:tcPr>
          <w:p>
            <w:r>
              <w:t>《安全生产法》、应急条例</w:t>
            </w:r>
          </w:p>
        </w:tc>
        <w:tc>
          <w:tcPr>
            <w:tcW w:type="dxa" w:w="2160"/>
          </w:tcPr>
          <w:p>
            <w:r>
              <w:t>应急预案管理办法、演练规范</w:t>
            </w:r>
          </w:p>
        </w:tc>
        <w:tc>
          <w:tcPr>
            <w:tcW w:type="dxa" w:w="2160"/>
          </w:tcPr>
          <w:p>
            <w:r>
              <w:t>预案、演练、应急储备、事故报告、24 小时抢险机制</w:t>
            </w:r>
          </w:p>
        </w:tc>
      </w:tr>
      <w:tr>
        <w:tc>
          <w:tcPr>
            <w:tcW w:type="dxa" w:w="2160"/>
          </w:tcPr>
          <w:p>
            <w:r>
              <w:t>监督检查</w:t>
            </w:r>
          </w:p>
        </w:tc>
        <w:tc>
          <w:tcPr>
            <w:tcW w:type="dxa" w:w="2160"/>
          </w:tcPr>
          <w:p>
            <w:r>
              <w:t>广西条例、重大隐患判定标准</w:t>
            </w:r>
          </w:p>
        </w:tc>
        <w:tc>
          <w:tcPr>
            <w:tcW w:type="dxa" w:w="2160"/>
          </w:tcPr>
          <w:p>
            <w:r>
              <w:t>多部门职责分工文件</w:t>
            </w:r>
          </w:p>
        </w:tc>
        <w:tc>
          <w:tcPr>
            <w:tcW w:type="dxa" w:w="2160"/>
          </w:tcPr>
          <w:p>
            <w:r>
              <w:t>住建、市场监管、应急、消防是否形成联合执法闭环</w:t>
            </w:r>
          </w:p>
        </w:tc>
      </w:tr>
    </w:tbl>
    <w:p>
      <w:pPr>
        <w:pStyle w:val="Heading2"/>
      </w:pPr>
      <w:r>
        <w:t>这几条线怎么配合</w:t>
      </w:r>
    </w:p>
    <w:p>
      <w:pPr>
        <w:pStyle w:val="ListBullet"/>
      </w:pPr>
      <w:r>
        <w:t>住建条线主要看“行业准入 + 工程建设 + 经营服务 + 用户安全”。</w:t>
      </w:r>
    </w:p>
    <w:p>
      <w:pPr>
        <w:pStyle w:val="ListBullet"/>
      </w:pPr>
      <w:r>
        <w:t>市场监管条线主要看“特种设备本体和充装活动是否合法、可追溯、可检验”。</w:t>
      </w:r>
    </w:p>
    <w:p>
      <w:pPr>
        <w:pStyle w:val="ListBullet"/>
      </w:pPr>
      <w:r>
        <w:t>应急条线主要看“企业有没有把安全生产责任体系和应急管理体系真正跑起来”。</w:t>
      </w:r>
    </w:p>
    <w:p>
      <w:pPr>
        <w:pStyle w:val="ListBullet"/>
      </w:pPr>
      <w:r>
        <w:t>消防条线主要看“火灾爆炸危险场所的建筑、防火分隔、消防设施、疏散和处置底线”。</w:t>
      </w:r>
    </w:p>
    <w:p>
      <w:pPr>
        <w:pStyle w:val="ListBullet"/>
      </w:pPr>
      <w:r>
        <w:t>广西地方条线把国家规定进一步落到实名购气、入户安检、报警切断、信息平台和跨部门执法协作上。</w:t>
      </w:r>
    </w:p>
    <w:p>
      <w:pPr>
        <w:pStyle w:val="Heading2"/>
      </w:pPr>
      <w:r>
        <w:t>现阶段最重要的判断逻辑</w:t>
      </w:r>
    </w:p>
    <w:p>
      <w:pPr>
        <w:pStyle w:val="ListBullet"/>
      </w:pPr>
      <w:r>
        <w:t xml:space="preserve">设计问题优先回到 </w:t>
      </w:r>
      <w:r>
        <w:rPr>
          <w:rFonts w:ascii="Menlo" w:hAnsi="Menlo" w:eastAsia="Menlo"/>
        </w:rPr>
        <w:t>GB 51142</w:t>
      </w:r>
      <w:r>
        <w:t>。</w:t>
      </w:r>
    </w:p>
    <w:p>
      <w:pPr>
        <w:pStyle w:val="ListBullet"/>
      </w:pPr>
      <w:r>
        <w:t xml:space="preserve">工程强制性底线优先回到 </w:t>
      </w:r>
      <w:r>
        <w:rPr>
          <w:rFonts w:ascii="Menlo" w:hAnsi="Menlo" w:eastAsia="Menlo"/>
        </w:rPr>
        <w:t>GB 55009</w:t>
      </w:r>
      <w:r>
        <w:t xml:space="preserve"> 和 </w:t>
      </w:r>
      <w:r>
        <w:rPr>
          <w:rFonts w:ascii="Menlo" w:hAnsi="Menlo" w:eastAsia="Menlo"/>
        </w:rPr>
        <w:t>GB 55037</w:t>
      </w:r>
      <w:r>
        <w:t>。</w:t>
      </w:r>
    </w:p>
    <w:p>
      <w:pPr>
        <w:pStyle w:val="ListBullet"/>
      </w:pPr>
      <w:r>
        <w:t>充装、气瓶、压力容器、压力管道问题优先回到市场监管体系。</w:t>
      </w:r>
    </w:p>
    <w:p>
      <w:pPr>
        <w:pStyle w:val="ListBullet"/>
      </w:pPr>
      <w:r>
        <w:t>企业制度、培训、预案、演练、事故报告问题优先回到应急体系。</w:t>
      </w:r>
    </w:p>
    <w:p>
      <w:pPr>
        <w:pStyle w:val="ListBullet"/>
      </w:pPr>
      <w:r>
        <w:t>运营和用户服务问题，要同时对照国家燃气条例和广西地方条例。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